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72A26" w14:textId="08A4BB41" w:rsidR="00AC2440" w:rsidRPr="00CB7AEF" w:rsidRDefault="00384801" w:rsidP="00AC2440">
      <w:pPr>
        <w:pStyle w:val="CRCoverPage"/>
        <w:tabs>
          <w:tab w:val="right" w:pos="9639"/>
        </w:tabs>
        <w:jc w:val="both"/>
        <w:rPr>
          <w:b/>
          <w:noProof/>
          <w:sz w:val="24"/>
          <w:szCs w:val="22"/>
          <w:lang w:val="en-US"/>
        </w:rPr>
      </w:pPr>
      <w:r w:rsidRPr="00CB7AEF">
        <w:rPr>
          <w:b/>
          <w:noProof/>
          <w:sz w:val="24"/>
          <w:szCs w:val="22"/>
        </w:rPr>
        <w:t>3GPP TSG-RAN WG4 Meeting #91</w:t>
      </w:r>
      <w:r w:rsidR="00AC2440" w:rsidRPr="00CB7AEF">
        <w:rPr>
          <w:b/>
          <w:i/>
          <w:noProof/>
          <w:sz w:val="24"/>
          <w:szCs w:val="22"/>
        </w:rPr>
        <w:t xml:space="preserve"> </w:t>
      </w:r>
      <w:r w:rsidR="00AC2440" w:rsidRPr="00CB7AEF">
        <w:rPr>
          <w:b/>
          <w:i/>
          <w:noProof/>
          <w:sz w:val="24"/>
          <w:szCs w:val="22"/>
        </w:rPr>
        <w:tab/>
      </w:r>
      <w:r w:rsidRPr="00CB7AEF">
        <w:rPr>
          <w:b/>
          <w:noProof/>
          <w:sz w:val="24"/>
          <w:szCs w:val="22"/>
        </w:rPr>
        <w:t>R4-1905726</w:t>
      </w:r>
    </w:p>
    <w:p w14:paraId="407201F9" w14:textId="77777777" w:rsidR="00373978" w:rsidRDefault="00373978" w:rsidP="00373978">
      <w:pPr>
        <w:tabs>
          <w:tab w:val="left" w:pos="1985"/>
        </w:tabs>
        <w:rPr>
          <w:rFonts w:ascii="Arial" w:hAnsi="Arial"/>
          <w:b/>
          <w:noProof/>
          <w:sz w:val="24"/>
          <w:szCs w:val="24"/>
          <w:lang w:val="en-US" w:eastAsia="zh-CN"/>
        </w:rPr>
      </w:pPr>
      <w:r w:rsidRPr="00A71C44">
        <w:rPr>
          <w:rFonts w:ascii="Arial" w:hAnsi="Arial"/>
          <w:b/>
          <w:noProof/>
          <w:sz w:val="24"/>
          <w:szCs w:val="24"/>
          <w:lang w:val="en-US" w:eastAsia="zh-CN"/>
        </w:rPr>
        <w:t>Reno, US, 13th– 17th May, 2019</w:t>
      </w:r>
    </w:p>
    <w:p w14:paraId="0393B714" w14:textId="77777777" w:rsidR="00DA4F49" w:rsidRDefault="00DA4F49" w:rsidP="00373978">
      <w:pPr>
        <w:tabs>
          <w:tab w:val="left" w:pos="1985"/>
        </w:tabs>
        <w:rPr>
          <w:rFonts w:ascii="Arial" w:hAnsi="Arial"/>
          <w:b/>
          <w:noProof/>
          <w:sz w:val="24"/>
          <w:szCs w:val="24"/>
          <w:lang w:val="en-US" w:eastAsia="zh-CN"/>
        </w:rPr>
      </w:pPr>
    </w:p>
    <w:p w14:paraId="343BCA82" w14:textId="5B02A39C"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816AE4" w:rsidRPr="00816AE4">
        <w:rPr>
          <w:rFonts w:ascii="Arial" w:hAnsi="Arial" w:cs="Arial"/>
          <w:b/>
          <w:sz w:val="24"/>
        </w:rPr>
        <w:t>8.4.3</w:t>
      </w:r>
      <w:r w:rsidR="00815292">
        <w:rPr>
          <w:rFonts w:ascii="Arial" w:hAnsi="Arial" w:cs="Arial"/>
          <w:b/>
          <w:sz w:val="24"/>
        </w:rPr>
        <w:t>.1</w:t>
      </w:r>
    </w:p>
    <w:p w14:paraId="74D4A27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14:paraId="1C695C6A" w14:textId="5EAF2631"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815292" w:rsidRPr="00815292">
        <w:rPr>
          <w:rFonts w:ascii="Arial" w:hAnsi="Arial" w:cs="Arial"/>
          <w:b/>
          <w:sz w:val="24"/>
        </w:rPr>
        <w:t>AGC settling time</w:t>
      </w:r>
      <w:r w:rsidR="00815292">
        <w:rPr>
          <w:rFonts w:ascii="Arial" w:hAnsi="Arial" w:cs="Arial"/>
          <w:b/>
          <w:sz w:val="24"/>
        </w:rPr>
        <w:t xml:space="preserve"> for NR V2X</w:t>
      </w:r>
    </w:p>
    <w:p w14:paraId="110B165E"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7165CF0A" w14:textId="77777777" w:rsidR="004B515E" w:rsidRPr="00224A01" w:rsidRDefault="004B515E" w:rsidP="009C2D12">
      <w:pPr>
        <w:pStyle w:val="Heading1"/>
        <w:rPr>
          <w:lang w:val="en-US" w:eastAsia="zh-CN"/>
        </w:rPr>
      </w:pPr>
      <w:r w:rsidRPr="00224A01">
        <w:rPr>
          <w:lang w:val="en-US" w:eastAsia="zh-CN"/>
        </w:rPr>
        <w:t>Introduction</w:t>
      </w:r>
    </w:p>
    <w:p w14:paraId="69C4A9FE" w14:textId="7600173C" w:rsidR="00B82070" w:rsidRDefault="00B82070" w:rsidP="00B82070">
      <w:pPr>
        <w:spacing w:before="0"/>
        <w:jc w:val="both"/>
      </w:pPr>
      <w:r w:rsidRPr="00B82070">
        <w:t xml:space="preserve">In </w:t>
      </w:r>
      <w:r w:rsidR="00234ACF">
        <w:t>RAN4 meeting #90</w:t>
      </w:r>
      <w:r w:rsidR="00DA4F49">
        <w:t>bis further discussion on AGC settling time took place. No final conclusions were reached and the current status is summarized in [1-2]. The following agreements on the AGC settling time are captured in the LS to RAN1 [2]</w:t>
      </w:r>
      <w:r w:rsidR="00234ACF">
        <w:t xml:space="preserve">: </w:t>
      </w:r>
    </w:p>
    <w:tbl>
      <w:tblPr>
        <w:tblStyle w:val="TableGrid"/>
        <w:tblW w:w="0" w:type="auto"/>
        <w:tblLook w:val="04A0" w:firstRow="1" w:lastRow="0" w:firstColumn="1" w:lastColumn="0" w:noHBand="0" w:noVBand="1"/>
      </w:tblPr>
      <w:tblGrid>
        <w:gridCol w:w="9629"/>
      </w:tblGrid>
      <w:tr w:rsidR="00B82070" w14:paraId="32A04423" w14:textId="77777777" w:rsidTr="00CB7AEF">
        <w:trPr>
          <w:trHeight w:val="5831"/>
        </w:trPr>
        <w:tc>
          <w:tcPr>
            <w:tcW w:w="9629" w:type="dxa"/>
          </w:tcPr>
          <w:p w14:paraId="3636FCA8" w14:textId="77777777" w:rsidR="00DA4F49" w:rsidRPr="00CB7AEF" w:rsidRDefault="00DA4F49" w:rsidP="00CB7AEF">
            <w:pPr>
              <w:pStyle w:val="ListParagraph"/>
              <w:numPr>
                <w:ilvl w:val="1"/>
                <w:numId w:val="29"/>
              </w:numPr>
              <w:spacing w:before="0"/>
              <w:ind w:left="648"/>
              <w:rPr>
                <w:rFonts w:eastAsia="Malgun Gothic"/>
                <w:color w:val="000000"/>
                <w:lang w:eastAsia="ko-KR"/>
              </w:rPr>
            </w:pPr>
            <w:r w:rsidRPr="00CB7AEF">
              <w:rPr>
                <w:rFonts w:eastAsia="Malgun Gothic"/>
                <w:color w:val="000000"/>
                <w:lang w:eastAsia="ko-KR"/>
              </w:rPr>
              <w:t>No consensus reached on the AGC settling time values. RAN4 will continue to investigate the AGC settling time values</w:t>
            </w:r>
          </w:p>
          <w:p w14:paraId="7687835B" w14:textId="77777777" w:rsidR="00DA4F49" w:rsidRPr="00CB7AEF" w:rsidRDefault="00DA4F49" w:rsidP="00CB7AEF">
            <w:pPr>
              <w:pStyle w:val="ListParagraph"/>
              <w:numPr>
                <w:ilvl w:val="1"/>
                <w:numId w:val="29"/>
              </w:numPr>
              <w:spacing w:before="0"/>
              <w:ind w:left="648"/>
              <w:rPr>
                <w:rFonts w:eastAsia="Malgun Gothic"/>
                <w:color w:val="000000"/>
                <w:lang w:eastAsia="ko-KR"/>
              </w:rPr>
            </w:pPr>
            <w:r w:rsidRPr="00CB7AEF">
              <w:rPr>
                <w:rFonts w:eastAsia="Malgun Gothic"/>
                <w:color w:val="000000"/>
                <w:lang w:eastAsia="ko-KR"/>
              </w:rPr>
              <w:t>Below observations that impact AGC setting time in RAN4 study are:</w:t>
            </w:r>
          </w:p>
          <w:p w14:paraId="47C74174" w14:textId="77777777" w:rsidR="00DA4F49" w:rsidRPr="00CB7AEF" w:rsidRDefault="00DA4F49" w:rsidP="00CB7AEF">
            <w:pPr>
              <w:pStyle w:val="ListParagraph"/>
              <w:numPr>
                <w:ilvl w:val="2"/>
                <w:numId w:val="29"/>
              </w:numPr>
              <w:spacing w:before="0"/>
              <w:ind w:left="1368"/>
              <w:rPr>
                <w:rFonts w:eastAsia="Malgun Gothic"/>
                <w:color w:val="000000"/>
                <w:lang w:eastAsia="ko-KR"/>
              </w:rPr>
            </w:pPr>
            <w:r w:rsidRPr="00CB7AEF">
              <w:rPr>
                <w:rFonts w:eastAsia="Malgun Gothic"/>
                <w:color w:val="000000"/>
                <w:lang w:eastAsia="ko-KR"/>
              </w:rPr>
              <w:t xml:space="preserve">Different companies have different assumptions of AGC settling time.  </w:t>
            </w:r>
          </w:p>
          <w:p w14:paraId="4226E1AC" w14:textId="77777777" w:rsidR="00DA4F49" w:rsidRPr="00CB7AEF" w:rsidRDefault="00DA4F49" w:rsidP="00CB7AEF">
            <w:pPr>
              <w:pStyle w:val="ListParagraph"/>
              <w:numPr>
                <w:ilvl w:val="3"/>
                <w:numId w:val="29"/>
              </w:numPr>
              <w:spacing w:before="0"/>
              <w:ind w:left="2088"/>
              <w:rPr>
                <w:rFonts w:eastAsia="Malgun Gothic"/>
                <w:color w:val="000000"/>
                <w:lang w:eastAsia="ko-KR"/>
              </w:rPr>
            </w:pPr>
            <w:r w:rsidRPr="00CB7AEF">
              <w:rPr>
                <w:rFonts w:eastAsia="Malgun Gothic"/>
                <w:color w:val="000000"/>
                <w:lang w:eastAsia="ko-KR"/>
              </w:rPr>
              <w:t xml:space="preserve">Some parameters that impact AGC settling time are waveform, RB size, SCS, number of carriers, number of receiver chains, and adjacent channel blocking interference. AGC settling time reported to RAN1 shall also consider the implementation and practical aspects. </w:t>
            </w:r>
          </w:p>
          <w:p w14:paraId="68AC57DA" w14:textId="77777777" w:rsidR="00DA4F49" w:rsidRPr="00CB7AEF" w:rsidRDefault="00DA4F49" w:rsidP="00CB7AEF">
            <w:pPr>
              <w:pStyle w:val="ListParagraph"/>
              <w:numPr>
                <w:ilvl w:val="2"/>
                <w:numId w:val="29"/>
              </w:numPr>
              <w:spacing w:before="0"/>
              <w:ind w:left="1368"/>
              <w:rPr>
                <w:rFonts w:eastAsia="Malgun Gothic"/>
                <w:color w:val="000000"/>
                <w:lang w:eastAsia="ko-KR"/>
              </w:rPr>
            </w:pPr>
            <w:r w:rsidRPr="00CB7AEF">
              <w:rPr>
                <w:rFonts w:eastAsia="Malgun Gothic"/>
                <w:color w:val="000000"/>
                <w:lang w:eastAsia="ko-KR"/>
              </w:rPr>
              <w:t xml:space="preserve">Based on different assumptions: </w:t>
            </w:r>
          </w:p>
          <w:p w14:paraId="36B33444" w14:textId="77777777" w:rsidR="00DA4F49" w:rsidRPr="00CB7AEF" w:rsidRDefault="00DA4F49" w:rsidP="00CB7AEF">
            <w:pPr>
              <w:pStyle w:val="ListParagraph"/>
              <w:numPr>
                <w:ilvl w:val="3"/>
                <w:numId w:val="29"/>
              </w:numPr>
              <w:spacing w:before="0"/>
              <w:ind w:left="2088"/>
              <w:rPr>
                <w:rFonts w:eastAsia="Malgun Gothic"/>
                <w:color w:val="000000"/>
                <w:lang w:eastAsia="ko-KR"/>
              </w:rPr>
            </w:pPr>
            <w:r w:rsidRPr="00CB7AEF">
              <w:rPr>
                <w:rFonts w:eastAsia="Malgun Gothic"/>
                <w:color w:val="000000"/>
                <w:lang w:eastAsia="ko-KR"/>
              </w:rPr>
              <w:t>The AGC settling time observed by Qualcomm, Ericsson, Intel, Interdigital is</w:t>
            </w:r>
          </w:p>
          <w:p w14:paraId="13E8E807" w14:textId="77777777" w:rsidR="00DA4F49" w:rsidRPr="00CB7AEF" w:rsidRDefault="00DA4F49" w:rsidP="00CB7AEF">
            <w:pPr>
              <w:pStyle w:val="ListParagraph"/>
              <w:numPr>
                <w:ilvl w:val="4"/>
                <w:numId w:val="29"/>
              </w:numPr>
              <w:spacing w:before="0"/>
              <w:ind w:left="2808"/>
              <w:rPr>
                <w:rFonts w:eastAsia="Malgun Gothic"/>
                <w:color w:val="000000"/>
                <w:lang w:eastAsia="ko-KR"/>
              </w:rPr>
            </w:pPr>
            <w:r w:rsidRPr="00CB7AEF">
              <w:rPr>
                <w:rFonts w:eastAsia="Malgun Gothic"/>
                <w:color w:val="000000"/>
                <w:lang w:eastAsia="ko-KR"/>
              </w:rPr>
              <w:t xml:space="preserve">AGC time : </w:t>
            </w:r>
            <w:r w:rsidRPr="00CB7AEF">
              <w:rPr>
                <w:rFonts w:eastAsia="Malgun Gothic"/>
                <w:color w:val="000000"/>
                <w:lang w:eastAsia="ko-KR"/>
              </w:rPr>
              <w:sym w:font="Symbol" w:char="F0A3"/>
            </w:r>
            <w:r w:rsidRPr="00CB7AEF">
              <w:rPr>
                <w:rFonts w:eastAsia="Malgun Gothic"/>
                <w:color w:val="000000"/>
                <w:lang w:eastAsia="ko-KR"/>
              </w:rPr>
              <w:t xml:space="preserve"> 35us for all SCS </w:t>
            </w:r>
          </w:p>
          <w:p w14:paraId="691A076B" w14:textId="77777777" w:rsidR="00DA4F49" w:rsidRPr="00CB7AEF" w:rsidRDefault="00DA4F49" w:rsidP="00CB7AEF">
            <w:pPr>
              <w:pStyle w:val="ListParagraph"/>
              <w:numPr>
                <w:ilvl w:val="3"/>
                <w:numId w:val="29"/>
              </w:numPr>
              <w:spacing w:before="0"/>
              <w:ind w:left="2088"/>
              <w:rPr>
                <w:rFonts w:eastAsia="Malgun Gothic"/>
                <w:color w:val="000000"/>
                <w:lang w:eastAsia="ko-KR"/>
              </w:rPr>
            </w:pPr>
            <w:r w:rsidRPr="00CB7AEF">
              <w:rPr>
                <w:rFonts w:eastAsia="Malgun Gothic"/>
                <w:color w:val="000000"/>
                <w:lang w:eastAsia="ko-KR"/>
              </w:rPr>
              <w:t>The AGC settling observed by Mediatek, Huawei, LGE, Spreadtrum is</w:t>
            </w:r>
          </w:p>
          <w:p w14:paraId="269B7A86" w14:textId="77777777" w:rsidR="00DA4F49" w:rsidRPr="00CB7AEF" w:rsidRDefault="00DA4F49" w:rsidP="00CB7AEF">
            <w:pPr>
              <w:pStyle w:val="ListParagraph"/>
              <w:numPr>
                <w:ilvl w:val="4"/>
                <w:numId w:val="29"/>
              </w:numPr>
              <w:spacing w:before="0"/>
              <w:ind w:left="2808"/>
              <w:rPr>
                <w:rFonts w:eastAsia="Malgun Gothic"/>
                <w:color w:val="000000"/>
                <w:lang w:eastAsia="ko-KR"/>
              </w:rPr>
            </w:pPr>
            <w:r w:rsidRPr="00CB7AEF">
              <w:rPr>
                <w:rFonts w:eastAsia="Malgun Gothic"/>
                <w:color w:val="000000"/>
                <w:lang w:eastAsia="ko-KR"/>
              </w:rPr>
              <w:t xml:space="preserve"> AGC time : </w:t>
            </w:r>
            <w:r w:rsidRPr="00CB7AEF">
              <w:rPr>
                <w:rFonts w:eastAsia="Malgun Gothic"/>
                <w:color w:val="000000"/>
                <w:lang w:eastAsia="ko-KR"/>
              </w:rPr>
              <w:sym w:font="Symbol" w:char="F0A3"/>
            </w:r>
            <w:r w:rsidRPr="00CB7AEF">
              <w:rPr>
                <w:rFonts w:eastAsia="Malgun Gothic"/>
                <w:color w:val="000000"/>
                <w:lang w:eastAsia="ko-KR"/>
              </w:rPr>
              <w:t xml:space="preserve"> 35us for 15kHz  SCS</w:t>
            </w:r>
          </w:p>
          <w:p w14:paraId="35B83AAD" w14:textId="77777777" w:rsidR="00DA4F49" w:rsidRPr="00CB7AEF" w:rsidRDefault="00DA4F49" w:rsidP="00CB7AEF">
            <w:pPr>
              <w:ind w:left="2808"/>
              <w:rPr>
                <w:rFonts w:ascii="Calibri" w:eastAsia="Malgun Gothic" w:hAnsi="Calibri"/>
                <w:color w:val="000000"/>
                <w:sz w:val="22"/>
                <w:szCs w:val="22"/>
                <w:lang w:eastAsia="ko-KR"/>
              </w:rPr>
            </w:pPr>
            <w:r w:rsidRPr="00CB7AEF">
              <w:rPr>
                <w:rFonts w:ascii="Calibri" w:eastAsia="Malgun Gothic" w:hAnsi="Calibri"/>
                <w:color w:val="000000"/>
                <w:sz w:val="22"/>
                <w:szCs w:val="22"/>
                <w:lang w:eastAsia="ko-KR"/>
              </w:rPr>
              <w:t xml:space="preserve">                        </w:t>
            </w:r>
            <w:r w:rsidRPr="00CB7AEF">
              <w:rPr>
                <w:rFonts w:ascii="Calibri" w:eastAsia="Malgun Gothic" w:hAnsi="Calibri"/>
                <w:color w:val="000000"/>
                <w:sz w:val="22"/>
                <w:szCs w:val="22"/>
                <w:lang w:eastAsia="ko-KR"/>
              </w:rPr>
              <w:sym w:font="Symbol" w:char="F0A3"/>
            </w:r>
            <w:r w:rsidRPr="00CB7AEF">
              <w:rPr>
                <w:rFonts w:ascii="Calibri" w:eastAsia="Malgun Gothic" w:hAnsi="Calibri"/>
                <w:color w:val="000000"/>
                <w:sz w:val="22"/>
                <w:szCs w:val="22"/>
                <w:lang w:eastAsia="ko-KR"/>
              </w:rPr>
              <w:t xml:space="preserve"> 18us for 30kHz SCS</w:t>
            </w:r>
          </w:p>
          <w:p w14:paraId="77AFCA13" w14:textId="77777777" w:rsidR="00DA4F49" w:rsidRPr="00CB7AEF" w:rsidRDefault="00DA4F49" w:rsidP="00CB7AEF">
            <w:pPr>
              <w:ind w:left="2808"/>
              <w:rPr>
                <w:rFonts w:ascii="Calibri" w:eastAsia="Malgun Gothic" w:hAnsi="Calibri"/>
                <w:color w:val="000000"/>
                <w:sz w:val="22"/>
                <w:szCs w:val="22"/>
                <w:lang w:eastAsia="ko-KR"/>
              </w:rPr>
            </w:pPr>
            <w:r w:rsidRPr="00CB7AEF">
              <w:rPr>
                <w:rFonts w:ascii="Calibri" w:eastAsia="Malgun Gothic" w:hAnsi="Calibri"/>
                <w:color w:val="000000"/>
                <w:sz w:val="22"/>
                <w:szCs w:val="22"/>
                <w:lang w:eastAsia="ko-KR"/>
              </w:rPr>
              <w:t xml:space="preserve">                        </w:t>
            </w:r>
            <w:r w:rsidRPr="00CB7AEF">
              <w:rPr>
                <w:rFonts w:ascii="Calibri" w:eastAsia="Malgun Gothic" w:hAnsi="Calibri"/>
                <w:color w:val="000000"/>
                <w:sz w:val="22"/>
                <w:szCs w:val="22"/>
                <w:lang w:eastAsia="ko-KR"/>
              </w:rPr>
              <w:sym w:font="Symbol" w:char="F0A3"/>
            </w:r>
            <w:r w:rsidRPr="00CB7AEF">
              <w:rPr>
                <w:rFonts w:ascii="Calibri" w:eastAsia="Malgun Gothic" w:hAnsi="Calibri"/>
                <w:color w:val="000000"/>
                <w:sz w:val="22"/>
                <w:szCs w:val="22"/>
                <w:lang w:eastAsia="ko-KR"/>
              </w:rPr>
              <w:t xml:space="preserve"> 9us for 60kHz SCS</w:t>
            </w:r>
          </w:p>
          <w:p w14:paraId="2DE822D4" w14:textId="77777777" w:rsidR="00DA4F49" w:rsidRPr="00CB7AEF" w:rsidRDefault="00DA4F49" w:rsidP="00CB7AEF">
            <w:pPr>
              <w:pStyle w:val="ListParagraph"/>
              <w:numPr>
                <w:ilvl w:val="2"/>
                <w:numId w:val="29"/>
              </w:numPr>
              <w:spacing w:before="0"/>
              <w:ind w:left="1368"/>
              <w:rPr>
                <w:rFonts w:eastAsia="Malgun Gothic"/>
                <w:color w:val="000000"/>
                <w:lang w:eastAsia="ko-KR"/>
              </w:rPr>
            </w:pPr>
            <w:r w:rsidRPr="00CB7AEF">
              <w:rPr>
                <w:rFonts w:eastAsia="Malgun Gothic"/>
                <w:color w:val="000000"/>
                <w:lang w:eastAsia="ko-KR"/>
              </w:rPr>
              <w:t>If multiple carriers are configured, A</w:t>
            </w:r>
            <w:bookmarkStart w:id="2" w:name="_GoBack"/>
            <w:bookmarkEnd w:id="2"/>
            <w:r w:rsidRPr="00CB7AEF">
              <w:rPr>
                <w:rFonts w:eastAsia="Malgun Gothic"/>
                <w:color w:val="000000"/>
                <w:lang w:eastAsia="ko-KR"/>
              </w:rPr>
              <w:t>GC performance could be degraded/further evaluated.</w:t>
            </w:r>
          </w:p>
          <w:p w14:paraId="43A52C46" w14:textId="2C706EEC" w:rsidR="00B82070" w:rsidRPr="00AA3170" w:rsidRDefault="00DA4F49" w:rsidP="00CB7AEF">
            <w:pPr>
              <w:pStyle w:val="ListParagraph"/>
              <w:rPr>
                <w:lang w:eastAsia="en-GB"/>
              </w:rPr>
            </w:pPr>
            <w:r w:rsidRPr="00CB7AEF">
              <w:rPr>
                <w:rFonts w:eastAsia="Malgun Gothic"/>
                <w:color w:val="000000"/>
                <w:lang w:eastAsia="ko-KR"/>
              </w:rPr>
              <w:t>Any further clarification on RAN1 design/ assumptions regarding the above observations could benefit RAN4 to further evaluate AGC performance.</w:t>
            </w:r>
          </w:p>
        </w:tc>
      </w:tr>
    </w:tbl>
    <w:p w14:paraId="4962C0DD" w14:textId="77777777" w:rsidR="00B82070" w:rsidRPr="00B82070" w:rsidRDefault="00B82070" w:rsidP="00B82070">
      <w:pPr>
        <w:spacing w:before="0"/>
        <w:jc w:val="both"/>
      </w:pPr>
    </w:p>
    <w:p w14:paraId="6C8DC96E" w14:textId="1767BEF4" w:rsidR="00E41DB4" w:rsidRPr="00730047" w:rsidRDefault="00E41DB4" w:rsidP="00E41DB4">
      <w:r w:rsidRPr="00730047">
        <w:t xml:space="preserve">In this contribution we provide </w:t>
      </w:r>
      <w:r w:rsidR="00B82070">
        <w:t xml:space="preserve">further discussion </w:t>
      </w:r>
      <w:r w:rsidRPr="00730047">
        <w:t xml:space="preserve">on the </w:t>
      </w:r>
      <w:r w:rsidR="00807801">
        <w:t>NR V2X</w:t>
      </w:r>
      <w:r w:rsidR="00807801" w:rsidRPr="00730047">
        <w:t xml:space="preserve"> </w:t>
      </w:r>
      <w:r w:rsidR="00DA4F49">
        <w:t xml:space="preserve">FR1 </w:t>
      </w:r>
      <w:r w:rsidR="00730047" w:rsidRPr="00730047">
        <w:t>AGC settling time</w:t>
      </w:r>
      <w:r w:rsidR="00234ACF" w:rsidRPr="00730047">
        <w:t>.</w:t>
      </w:r>
    </w:p>
    <w:p w14:paraId="1675776D" w14:textId="77777777" w:rsidR="0093161F" w:rsidRDefault="00E41DB4" w:rsidP="00F00497">
      <w:pPr>
        <w:pStyle w:val="Heading1"/>
        <w:rPr>
          <w:lang w:val="en-US"/>
        </w:rPr>
      </w:pPr>
      <w:r>
        <w:rPr>
          <w:lang w:val="en-US"/>
        </w:rPr>
        <w:t>Discussion</w:t>
      </w:r>
    </w:p>
    <w:p w14:paraId="690A12EF" w14:textId="280E2590" w:rsidR="00E41DB4" w:rsidRPr="001C73C4" w:rsidRDefault="00234ACF" w:rsidP="00E41DB4">
      <w:pPr>
        <w:jc w:val="both"/>
      </w:pPr>
      <w:r>
        <w:t>In WF [</w:t>
      </w:r>
      <w:r w:rsidR="00DA4F49">
        <w:t>3</w:t>
      </w:r>
      <w:r>
        <w:t>]</w:t>
      </w:r>
      <w:r w:rsidR="00E41DB4" w:rsidRPr="001C73C4">
        <w:t xml:space="preserve">, </w:t>
      </w:r>
      <w:r>
        <w:t>it is agreed that AGC settling time includes</w:t>
      </w:r>
      <w:r w:rsidR="00E41DB4" w:rsidRPr="001C73C4">
        <w:t xml:space="preserve"> the following </w:t>
      </w:r>
      <w:r w:rsidR="001C3227" w:rsidRPr="001C73C4">
        <w:t>components</w:t>
      </w:r>
      <w:r>
        <w:t xml:space="preserve"> for NR V2X</w:t>
      </w:r>
      <w:r w:rsidR="001C3227">
        <w:t>:</w:t>
      </w:r>
    </w:p>
    <w:p w14:paraId="428540F4" w14:textId="77777777" w:rsidR="00F55C34" w:rsidRPr="001C73C4" w:rsidRDefault="00F55C34" w:rsidP="00F55C34">
      <w:pPr>
        <w:ind w:left="288"/>
        <w:jc w:val="both"/>
      </w:pPr>
      <w:r w:rsidRPr="001C73C4">
        <w:t xml:space="preserve">(a) </w:t>
      </w:r>
      <w:r>
        <w:t xml:space="preserve">time offset from the start of the OFDM symbol to account for </w:t>
      </w:r>
      <w:r w:rsidR="00807801">
        <w:t xml:space="preserve">maximum </w:t>
      </w:r>
      <w:r>
        <w:t>signal propagation delay</w:t>
      </w:r>
      <w:r w:rsidR="00807801">
        <w:t xml:space="preserve"> from different UEs</w:t>
      </w:r>
      <w:r w:rsidRPr="001C73C4">
        <w:t xml:space="preserve"> </w:t>
      </w:r>
    </w:p>
    <w:p w14:paraId="0D199A39" w14:textId="77777777" w:rsidR="00E41DB4" w:rsidRPr="001C73C4" w:rsidRDefault="00E41DB4" w:rsidP="00F55C34">
      <w:pPr>
        <w:ind w:left="288"/>
        <w:jc w:val="both"/>
      </w:pPr>
      <w:r w:rsidRPr="001C73C4">
        <w:t>(</w:t>
      </w:r>
      <w:r w:rsidR="00F55C34">
        <w:t>b</w:t>
      </w:r>
      <w:r w:rsidRPr="001C73C4">
        <w:t xml:space="preserve">) time to receive the window of samples used for estimating the gain, </w:t>
      </w:r>
    </w:p>
    <w:p w14:paraId="2A3E3E6C" w14:textId="77777777" w:rsidR="00E41DB4" w:rsidRPr="001C73C4" w:rsidRDefault="00E41DB4" w:rsidP="00943D04">
      <w:pPr>
        <w:ind w:left="288"/>
        <w:jc w:val="both"/>
      </w:pPr>
      <w:r w:rsidRPr="001C73C4">
        <w:t>(</w:t>
      </w:r>
      <w:r w:rsidR="00F55C34">
        <w:t>c</w:t>
      </w:r>
      <w:r w:rsidRPr="001C73C4">
        <w:t xml:space="preserve">) time for estimating and programming the desired gain setting, </w:t>
      </w:r>
    </w:p>
    <w:p w14:paraId="30ED742D" w14:textId="77777777" w:rsidR="00407C2F" w:rsidRDefault="00E41DB4" w:rsidP="00DB076D">
      <w:pPr>
        <w:ind w:left="288"/>
        <w:jc w:val="both"/>
      </w:pPr>
      <w:r w:rsidRPr="001C73C4">
        <w:t>(</w:t>
      </w:r>
      <w:r w:rsidR="00F55C34">
        <w:t>d</w:t>
      </w:r>
      <w:r w:rsidRPr="001C73C4">
        <w:t xml:space="preserve">) time </w:t>
      </w:r>
      <w:r w:rsidR="001C3227">
        <w:t xml:space="preserve">for </w:t>
      </w:r>
      <w:r w:rsidRPr="001C73C4">
        <w:t xml:space="preserve">the gain setting taking into effect. </w:t>
      </w:r>
    </w:p>
    <w:p w14:paraId="208EAC01" w14:textId="77777777" w:rsidR="003D1EE1" w:rsidRDefault="00276856" w:rsidP="002679CE">
      <w:pPr>
        <w:ind w:left="288"/>
        <w:jc w:val="center"/>
      </w:pPr>
      <w:r>
        <w:object w:dxaOrig="12241" w:dyaOrig="4021" w14:anchorId="1CC7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140.8pt" o:ole="">
            <v:imagedata r:id="rId12" o:title=""/>
          </v:shape>
          <o:OLEObject Type="Embed" ProgID="Visio.Drawing.15" ShapeID="_x0000_i1025" DrawAspect="Content" ObjectID="_1618387529" r:id="rId13"/>
        </w:object>
      </w:r>
    </w:p>
    <w:p w14:paraId="1C696B0C" w14:textId="77777777" w:rsidR="003D1EE1" w:rsidRPr="003D1EE1" w:rsidRDefault="003D1EE1" w:rsidP="003D1EE1">
      <w:pPr>
        <w:pStyle w:val="Caption"/>
        <w:jc w:val="center"/>
        <w:rPr>
          <w:sz w:val="20"/>
        </w:rPr>
      </w:pPr>
      <w:r w:rsidRPr="003D1EE1">
        <w:rPr>
          <w:sz w:val="20"/>
        </w:rPr>
        <w:t xml:space="preserve">Figure </w:t>
      </w:r>
      <w:r w:rsidRPr="003D1EE1">
        <w:rPr>
          <w:sz w:val="20"/>
        </w:rPr>
        <w:fldChar w:fldCharType="begin"/>
      </w:r>
      <w:r w:rsidRPr="003D1EE1">
        <w:rPr>
          <w:sz w:val="20"/>
        </w:rPr>
        <w:instrText xml:space="preserve"> SEQ Figure \* ARABIC </w:instrText>
      </w:r>
      <w:r w:rsidRPr="003D1EE1">
        <w:rPr>
          <w:sz w:val="20"/>
        </w:rPr>
        <w:fldChar w:fldCharType="separate"/>
      </w:r>
      <w:r w:rsidR="00900C25">
        <w:rPr>
          <w:noProof/>
          <w:sz w:val="20"/>
        </w:rPr>
        <w:t>1</w:t>
      </w:r>
      <w:r w:rsidRPr="003D1EE1">
        <w:rPr>
          <w:sz w:val="20"/>
        </w:rPr>
        <w:fldChar w:fldCharType="end"/>
      </w:r>
      <w:r w:rsidRPr="003D1EE1">
        <w:rPr>
          <w:sz w:val="20"/>
        </w:rPr>
        <w:t>: Components for AGC settling time</w:t>
      </w:r>
    </w:p>
    <w:p w14:paraId="133C662E" w14:textId="41C3D0C2" w:rsidR="00900C25" w:rsidRDefault="00F55C34" w:rsidP="002E200C">
      <w:pPr>
        <w:spacing w:before="0"/>
        <w:jc w:val="both"/>
      </w:pPr>
      <w:r>
        <w:t>The duration of period (a) can be estimated as CP/2</w:t>
      </w:r>
      <w:r w:rsidR="00807801">
        <w:t xml:space="preserve"> which is aligned with previous LTE assumptions on the maximum allowed propagation delay</w:t>
      </w:r>
      <w:r>
        <w:t xml:space="preserve">. </w:t>
      </w:r>
      <w:r w:rsidR="001C3227">
        <w:t>For (</w:t>
      </w:r>
      <w:r>
        <w:t>b</w:t>
      </w:r>
      <w:r w:rsidR="001C3227">
        <w:t>), one first needs to know the accuracy criterion for energy estimation, i.e., X dB to the actual average energy with probability of Y. With the accuracy criterion, the time duration (</w:t>
      </w:r>
      <w:r>
        <w:t>b</w:t>
      </w:r>
      <w:r w:rsidR="001C3227">
        <w:t xml:space="preserve">) can be derived by </w:t>
      </w:r>
      <w:r>
        <w:t>link-</w:t>
      </w:r>
      <w:r w:rsidR="001C3227">
        <w:t>level simulations</w:t>
      </w:r>
      <w:r w:rsidR="001C46B1">
        <w:t xml:space="preserve"> similar to</w:t>
      </w:r>
      <w:r w:rsidR="001C3227">
        <w:t xml:space="preserve"> [</w:t>
      </w:r>
      <w:r w:rsidR="001C46B1">
        <w:t>4</w:t>
      </w:r>
      <w:r w:rsidR="00900C25">
        <w:t xml:space="preserve">]. </w:t>
      </w:r>
      <w:r w:rsidR="002E200C">
        <w:t xml:space="preserve">In this contribution, we evaluate </w:t>
      </w:r>
      <w:r w:rsidR="00900C25">
        <w:t xml:space="preserve">the probability that the energy estimate is out of </w:t>
      </w:r>
      <w:r w:rsidR="00807801">
        <w:t>±</w:t>
      </w:r>
      <w:r w:rsidR="00900C25">
        <w:t xml:space="preserve">3dB of the actual average energy as a function of time (fs * number of samples used for energy estimation), i.e., Pr(|Estimated energy in dB – True energy in dB| &gt; 3 dB). </w:t>
      </w:r>
      <w:r w:rsidR="002E200C">
        <w:t xml:space="preserve">Simulation results </w:t>
      </w:r>
      <w:r w:rsidR="00632B25">
        <w:t xml:space="preserve">are shown </w:t>
      </w:r>
      <w:r w:rsidR="002E200C">
        <w:t xml:space="preserve">for the scenario with 20MHz </w:t>
      </w:r>
      <w:r w:rsidR="0086055D">
        <w:t>C</w:t>
      </w:r>
      <w:r w:rsidR="002E200C">
        <w:t>BW, CP-OFDM wave</w:t>
      </w:r>
      <w:r w:rsidR="0086055D">
        <w:t>form</w:t>
      </w:r>
      <w:r w:rsidR="002E200C">
        <w:t xml:space="preserve"> </w:t>
      </w:r>
      <w:r w:rsidR="0086055D">
        <w:t xml:space="preserve">and </w:t>
      </w:r>
      <w:r w:rsidR="002E200C">
        <w:t>with different RB resource allocation, SCS</w:t>
      </w:r>
      <w:r w:rsidR="00632B25">
        <w:t xml:space="preserve">, </w:t>
      </w:r>
      <w:r w:rsidR="0086055D">
        <w:t xml:space="preserve">and </w:t>
      </w:r>
      <w:r w:rsidR="00632B25">
        <w:t>SNR for the AW</w:t>
      </w:r>
      <w:r w:rsidR="0086055D">
        <w:t>G</w:t>
      </w:r>
      <w:r w:rsidR="00632B25">
        <w:t xml:space="preserve">N channel. </w:t>
      </w:r>
    </w:p>
    <w:tbl>
      <w:tblPr>
        <w:tblStyle w:val="TableGrid"/>
        <w:tblW w:w="0" w:type="auto"/>
        <w:tblLook w:val="04A0" w:firstRow="1" w:lastRow="0" w:firstColumn="1" w:lastColumn="0" w:noHBand="0" w:noVBand="1"/>
      </w:tblPr>
      <w:tblGrid>
        <w:gridCol w:w="4801"/>
        <w:gridCol w:w="4828"/>
      </w:tblGrid>
      <w:tr w:rsidR="00F32080" w14:paraId="560AF9A6" w14:textId="77777777" w:rsidTr="00420DDF">
        <w:tc>
          <w:tcPr>
            <w:tcW w:w="4814" w:type="dxa"/>
          </w:tcPr>
          <w:p w14:paraId="0F28BCBE" w14:textId="36BA0C71" w:rsidR="00420DDF" w:rsidRDefault="002D6C1C" w:rsidP="0044409A">
            <w:pPr>
              <w:jc w:val="center"/>
            </w:pPr>
            <w:r>
              <w:rPr>
                <w:noProof/>
                <w:lang w:val="en-US" w:eastAsia="zh-CN"/>
              </w:rPr>
              <w:drawing>
                <wp:inline distT="0" distB="0" distL="0" distR="0" wp14:anchorId="1A7C22B8" wp14:editId="250D829C">
                  <wp:extent cx="3190126" cy="2392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C Time SNR5dB with SCS = 15 kHz.png"/>
                          <pic:cNvPicPr/>
                        </pic:nvPicPr>
                        <pic:blipFill>
                          <a:blip r:embed="rId14">
                            <a:extLst>
                              <a:ext uri="{28A0092B-C50C-407E-A947-70E740481C1C}">
                                <a14:useLocalDpi xmlns:a14="http://schemas.microsoft.com/office/drawing/2010/main" val="0"/>
                              </a:ext>
                            </a:extLst>
                          </a:blip>
                          <a:stretch>
                            <a:fillRect/>
                          </a:stretch>
                        </pic:blipFill>
                        <pic:spPr>
                          <a:xfrm>
                            <a:off x="0" y="0"/>
                            <a:ext cx="3225175" cy="2418882"/>
                          </a:xfrm>
                          <a:prstGeom prst="rect">
                            <a:avLst/>
                          </a:prstGeom>
                        </pic:spPr>
                      </pic:pic>
                    </a:graphicData>
                  </a:graphic>
                </wp:inline>
              </w:drawing>
            </w:r>
          </w:p>
        </w:tc>
        <w:tc>
          <w:tcPr>
            <w:tcW w:w="4815" w:type="dxa"/>
          </w:tcPr>
          <w:p w14:paraId="28DD8A2F" w14:textId="77777777" w:rsidR="00420DDF" w:rsidRDefault="0044409A" w:rsidP="00E41DB4">
            <w:r>
              <w:rPr>
                <w:noProof/>
                <w:lang w:val="en-US" w:eastAsia="zh-CN"/>
              </w:rPr>
              <w:drawing>
                <wp:inline distT="0" distB="0" distL="0" distR="0" wp14:anchorId="61438582" wp14:editId="4CB8A736">
                  <wp:extent cx="3202634" cy="24019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GC Time SNR20dB with SCS = 15 kHz.png"/>
                          <pic:cNvPicPr/>
                        </pic:nvPicPr>
                        <pic:blipFill>
                          <a:blip r:embed="rId15">
                            <a:extLst>
                              <a:ext uri="{28A0092B-C50C-407E-A947-70E740481C1C}">
                                <a14:useLocalDpi xmlns:a14="http://schemas.microsoft.com/office/drawing/2010/main" val="0"/>
                              </a:ext>
                            </a:extLst>
                          </a:blip>
                          <a:stretch>
                            <a:fillRect/>
                          </a:stretch>
                        </pic:blipFill>
                        <pic:spPr>
                          <a:xfrm>
                            <a:off x="0" y="0"/>
                            <a:ext cx="3253753" cy="2440315"/>
                          </a:xfrm>
                          <a:prstGeom prst="rect">
                            <a:avLst/>
                          </a:prstGeom>
                        </pic:spPr>
                      </pic:pic>
                    </a:graphicData>
                  </a:graphic>
                </wp:inline>
              </w:drawing>
            </w:r>
          </w:p>
        </w:tc>
      </w:tr>
      <w:tr w:rsidR="00F32080" w14:paraId="04E5BA49" w14:textId="77777777" w:rsidTr="00420DDF">
        <w:tc>
          <w:tcPr>
            <w:tcW w:w="4814" w:type="dxa"/>
          </w:tcPr>
          <w:p w14:paraId="7E184791" w14:textId="73F05E29" w:rsidR="00420DDF" w:rsidRDefault="00835B97" w:rsidP="00F04916">
            <w:pPr>
              <w:jc w:val="center"/>
            </w:pPr>
            <w:r>
              <w:rPr>
                <w:noProof/>
                <w:lang w:val="en-US" w:eastAsia="zh-CN"/>
              </w:rPr>
              <w:drawing>
                <wp:inline distT="0" distB="0" distL="0" distR="0" wp14:anchorId="67593BE2" wp14:editId="5ECC0623">
                  <wp:extent cx="3191951" cy="2393963"/>
                  <wp:effectExtent l="0" t="0" r="889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GC Time SNR20dB with SCS = 30 kHz.png"/>
                          <pic:cNvPicPr/>
                        </pic:nvPicPr>
                        <pic:blipFill>
                          <a:blip r:embed="rId16">
                            <a:extLst>
                              <a:ext uri="{28A0092B-C50C-407E-A947-70E740481C1C}">
                                <a14:useLocalDpi xmlns:a14="http://schemas.microsoft.com/office/drawing/2010/main" val="0"/>
                              </a:ext>
                            </a:extLst>
                          </a:blip>
                          <a:stretch>
                            <a:fillRect/>
                          </a:stretch>
                        </pic:blipFill>
                        <pic:spPr>
                          <a:xfrm>
                            <a:off x="0" y="0"/>
                            <a:ext cx="3202762" cy="2402072"/>
                          </a:xfrm>
                          <a:prstGeom prst="rect">
                            <a:avLst/>
                          </a:prstGeom>
                        </pic:spPr>
                      </pic:pic>
                    </a:graphicData>
                  </a:graphic>
                </wp:inline>
              </w:drawing>
            </w:r>
          </w:p>
        </w:tc>
        <w:tc>
          <w:tcPr>
            <w:tcW w:w="4815" w:type="dxa"/>
          </w:tcPr>
          <w:p w14:paraId="047E85F5" w14:textId="3A250F0F" w:rsidR="00420DDF" w:rsidRDefault="008973ED" w:rsidP="00CB088B">
            <w:pPr>
              <w:jc w:val="center"/>
            </w:pPr>
            <w:r>
              <w:rPr>
                <w:noProof/>
                <w:lang w:val="en-US" w:eastAsia="zh-CN"/>
              </w:rPr>
              <w:drawing>
                <wp:inline distT="0" distB="0" distL="0" distR="0" wp14:anchorId="3ABF92F5" wp14:editId="082CF3E6">
                  <wp:extent cx="3200400" cy="2400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GC Time with SNR=20dB, SCS = 60 kHz.png"/>
                          <pic:cNvPicPr/>
                        </pic:nvPicPr>
                        <pic:blipFill>
                          <a:blip r:embed="rId17">
                            <a:extLst>
                              <a:ext uri="{28A0092B-C50C-407E-A947-70E740481C1C}">
                                <a14:useLocalDpi xmlns:a14="http://schemas.microsoft.com/office/drawing/2010/main" val="0"/>
                              </a:ext>
                            </a:extLst>
                          </a:blip>
                          <a:stretch>
                            <a:fillRect/>
                          </a:stretch>
                        </pic:blipFill>
                        <pic:spPr>
                          <a:xfrm>
                            <a:off x="0" y="0"/>
                            <a:ext cx="3243281" cy="2432461"/>
                          </a:xfrm>
                          <a:prstGeom prst="rect">
                            <a:avLst/>
                          </a:prstGeom>
                        </pic:spPr>
                      </pic:pic>
                    </a:graphicData>
                  </a:graphic>
                </wp:inline>
              </w:drawing>
            </w:r>
          </w:p>
        </w:tc>
      </w:tr>
      <w:tr w:rsidR="00F32080" w14:paraId="7EBDF9D4" w14:textId="77777777" w:rsidTr="00420DDF">
        <w:tc>
          <w:tcPr>
            <w:tcW w:w="4814" w:type="dxa"/>
          </w:tcPr>
          <w:p w14:paraId="7C28316C" w14:textId="77777777" w:rsidR="00420DDF" w:rsidRDefault="00CE1751" w:rsidP="00E41DB4">
            <w:r>
              <w:rPr>
                <w:noProof/>
                <w:lang w:val="en-US" w:eastAsia="zh-CN"/>
              </w:rPr>
              <w:lastRenderedPageBreak/>
              <w:drawing>
                <wp:inline distT="0" distB="0" distL="0" distR="0" wp14:anchorId="0132C765" wp14:editId="7B935975">
                  <wp:extent cx="3189334" cy="2392001"/>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5kSCSQPSK5dBSNR.png"/>
                          <pic:cNvPicPr/>
                        </pic:nvPicPr>
                        <pic:blipFill>
                          <a:blip r:embed="rId18">
                            <a:extLst>
                              <a:ext uri="{28A0092B-C50C-407E-A947-70E740481C1C}">
                                <a14:useLocalDpi xmlns:a14="http://schemas.microsoft.com/office/drawing/2010/main" val="0"/>
                              </a:ext>
                            </a:extLst>
                          </a:blip>
                          <a:stretch>
                            <a:fillRect/>
                          </a:stretch>
                        </pic:blipFill>
                        <pic:spPr>
                          <a:xfrm>
                            <a:off x="0" y="0"/>
                            <a:ext cx="3225475" cy="2419107"/>
                          </a:xfrm>
                          <a:prstGeom prst="rect">
                            <a:avLst/>
                          </a:prstGeom>
                        </pic:spPr>
                      </pic:pic>
                    </a:graphicData>
                  </a:graphic>
                </wp:inline>
              </w:drawing>
            </w:r>
          </w:p>
        </w:tc>
        <w:tc>
          <w:tcPr>
            <w:tcW w:w="4815" w:type="dxa"/>
          </w:tcPr>
          <w:p w14:paraId="2CFCF133" w14:textId="77777777" w:rsidR="00420DDF" w:rsidRDefault="00E718EB" w:rsidP="00E41DB4">
            <w:r>
              <w:rPr>
                <w:noProof/>
                <w:lang w:val="en-US" w:eastAsia="zh-CN"/>
              </w:rPr>
              <w:drawing>
                <wp:inline distT="0" distB="0" distL="0" distR="0" wp14:anchorId="7BF9C916" wp14:editId="611E16CF">
                  <wp:extent cx="3215811" cy="2411859"/>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5kSCS64QAM5dBSNR.png"/>
                          <pic:cNvPicPr/>
                        </pic:nvPicPr>
                        <pic:blipFill>
                          <a:blip r:embed="rId19">
                            <a:extLst>
                              <a:ext uri="{28A0092B-C50C-407E-A947-70E740481C1C}">
                                <a14:useLocalDpi xmlns:a14="http://schemas.microsoft.com/office/drawing/2010/main" val="0"/>
                              </a:ext>
                            </a:extLst>
                          </a:blip>
                          <a:stretch>
                            <a:fillRect/>
                          </a:stretch>
                        </pic:blipFill>
                        <pic:spPr>
                          <a:xfrm>
                            <a:off x="0" y="0"/>
                            <a:ext cx="3243035" cy="2432277"/>
                          </a:xfrm>
                          <a:prstGeom prst="rect">
                            <a:avLst/>
                          </a:prstGeom>
                        </pic:spPr>
                      </pic:pic>
                    </a:graphicData>
                  </a:graphic>
                </wp:inline>
              </w:drawing>
            </w:r>
          </w:p>
        </w:tc>
      </w:tr>
      <w:tr w:rsidR="00F32080" w14:paraId="0B7D94FE" w14:textId="77777777" w:rsidTr="00420DDF">
        <w:tc>
          <w:tcPr>
            <w:tcW w:w="4814" w:type="dxa"/>
          </w:tcPr>
          <w:p w14:paraId="59264515" w14:textId="77777777" w:rsidR="00420DDF" w:rsidRDefault="00E718EB" w:rsidP="00E41DB4">
            <w:r>
              <w:rPr>
                <w:noProof/>
                <w:lang w:val="en-US" w:eastAsia="zh-CN"/>
              </w:rPr>
              <w:drawing>
                <wp:inline distT="0" distB="0" distL="0" distR="0" wp14:anchorId="107467EA" wp14:editId="7DDB8E45">
                  <wp:extent cx="3188970" cy="239172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B248 SNR20dB with SCS = 15 kHz.png"/>
                          <pic:cNvPicPr/>
                        </pic:nvPicPr>
                        <pic:blipFill>
                          <a:blip r:embed="rId20">
                            <a:extLst>
                              <a:ext uri="{28A0092B-C50C-407E-A947-70E740481C1C}">
                                <a14:useLocalDpi xmlns:a14="http://schemas.microsoft.com/office/drawing/2010/main" val="0"/>
                              </a:ext>
                            </a:extLst>
                          </a:blip>
                          <a:stretch>
                            <a:fillRect/>
                          </a:stretch>
                        </pic:blipFill>
                        <pic:spPr>
                          <a:xfrm>
                            <a:off x="0" y="0"/>
                            <a:ext cx="3228177" cy="2421133"/>
                          </a:xfrm>
                          <a:prstGeom prst="rect">
                            <a:avLst/>
                          </a:prstGeom>
                        </pic:spPr>
                      </pic:pic>
                    </a:graphicData>
                  </a:graphic>
                </wp:inline>
              </w:drawing>
            </w:r>
          </w:p>
        </w:tc>
        <w:tc>
          <w:tcPr>
            <w:tcW w:w="4815" w:type="dxa"/>
          </w:tcPr>
          <w:p w14:paraId="2C351544" w14:textId="2A495627" w:rsidR="00420DDF" w:rsidRDefault="008973ED" w:rsidP="00E41DB4">
            <w:r>
              <w:rPr>
                <w:noProof/>
                <w:lang w:val="en-US" w:eastAsia="zh-CN"/>
              </w:rPr>
              <w:drawing>
                <wp:inline distT="0" distB="0" distL="0" distR="0" wp14:anchorId="5A7ACE5D" wp14:editId="08309EAE">
                  <wp:extent cx="3215640" cy="241173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B248 SNR20dB with SCS = 30 kHz.png"/>
                          <pic:cNvPicPr/>
                        </pic:nvPicPr>
                        <pic:blipFill>
                          <a:blip r:embed="rId21">
                            <a:extLst>
                              <a:ext uri="{28A0092B-C50C-407E-A947-70E740481C1C}">
                                <a14:useLocalDpi xmlns:a14="http://schemas.microsoft.com/office/drawing/2010/main" val="0"/>
                              </a:ext>
                            </a:extLst>
                          </a:blip>
                          <a:stretch>
                            <a:fillRect/>
                          </a:stretch>
                        </pic:blipFill>
                        <pic:spPr>
                          <a:xfrm>
                            <a:off x="0" y="0"/>
                            <a:ext cx="3242335" cy="2431751"/>
                          </a:xfrm>
                          <a:prstGeom prst="rect">
                            <a:avLst/>
                          </a:prstGeom>
                        </pic:spPr>
                      </pic:pic>
                    </a:graphicData>
                  </a:graphic>
                </wp:inline>
              </w:drawing>
            </w:r>
          </w:p>
        </w:tc>
      </w:tr>
      <w:tr w:rsidR="00525014" w14:paraId="2E105AEC" w14:textId="77777777" w:rsidTr="004E75C5">
        <w:tc>
          <w:tcPr>
            <w:tcW w:w="9629" w:type="dxa"/>
            <w:gridSpan w:val="2"/>
          </w:tcPr>
          <w:p w14:paraId="6BC98C18" w14:textId="4A955FCB" w:rsidR="00525014" w:rsidRDefault="003002D7" w:rsidP="00F32080">
            <w:pPr>
              <w:jc w:val="center"/>
            </w:pPr>
            <w:r>
              <w:rPr>
                <w:noProof/>
                <w:sz w:val="16"/>
                <w:szCs w:val="16"/>
                <w:lang w:val="en-US" w:eastAsia="zh-CN"/>
              </w:rPr>
              <w:drawing>
                <wp:inline distT="0" distB="0" distL="0" distR="0" wp14:anchorId="07CE92CF" wp14:editId="5B058491">
                  <wp:extent cx="3200400" cy="240030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B248 SNR20dB with SCS = 60 kHz.png"/>
                          <pic:cNvPicPr/>
                        </pic:nvPicPr>
                        <pic:blipFill>
                          <a:blip r:embed="rId22">
                            <a:extLst>
                              <a:ext uri="{28A0092B-C50C-407E-A947-70E740481C1C}">
                                <a14:useLocalDpi xmlns:a14="http://schemas.microsoft.com/office/drawing/2010/main" val="0"/>
                              </a:ext>
                            </a:extLst>
                          </a:blip>
                          <a:stretch>
                            <a:fillRect/>
                          </a:stretch>
                        </pic:blipFill>
                        <pic:spPr>
                          <a:xfrm>
                            <a:off x="0" y="0"/>
                            <a:ext cx="3214297" cy="2410724"/>
                          </a:xfrm>
                          <a:prstGeom prst="rect">
                            <a:avLst/>
                          </a:prstGeom>
                        </pic:spPr>
                      </pic:pic>
                    </a:graphicData>
                  </a:graphic>
                </wp:inline>
              </w:drawing>
            </w:r>
          </w:p>
        </w:tc>
      </w:tr>
    </w:tbl>
    <w:p w14:paraId="447CE048" w14:textId="77777777" w:rsidR="00F04916" w:rsidRPr="00900C25" w:rsidRDefault="00F04916" w:rsidP="00F04916">
      <w:pPr>
        <w:pStyle w:val="Caption"/>
        <w:keepNext w:val="0"/>
        <w:jc w:val="center"/>
        <w:rPr>
          <w:sz w:val="20"/>
        </w:rPr>
      </w:pPr>
      <w:r w:rsidRPr="00900C25">
        <w:rPr>
          <w:sz w:val="20"/>
        </w:rPr>
        <w:t xml:space="preserve">Figure </w:t>
      </w:r>
      <w:r w:rsidRPr="00900C25">
        <w:rPr>
          <w:sz w:val="20"/>
        </w:rPr>
        <w:fldChar w:fldCharType="begin"/>
      </w:r>
      <w:r w:rsidRPr="00900C25">
        <w:rPr>
          <w:sz w:val="20"/>
        </w:rPr>
        <w:instrText xml:space="preserve"> SEQ Figure \* ARABIC </w:instrText>
      </w:r>
      <w:r w:rsidRPr="00900C25">
        <w:rPr>
          <w:sz w:val="20"/>
        </w:rPr>
        <w:fldChar w:fldCharType="separate"/>
      </w:r>
      <w:r w:rsidRPr="00900C25">
        <w:rPr>
          <w:sz w:val="20"/>
        </w:rPr>
        <w:t>2</w:t>
      </w:r>
      <w:r w:rsidRPr="00900C25">
        <w:rPr>
          <w:sz w:val="20"/>
        </w:rPr>
        <w:fldChar w:fldCharType="end"/>
      </w:r>
      <w:r w:rsidRPr="00900C25">
        <w:rPr>
          <w:sz w:val="20"/>
        </w:rPr>
        <w:t>: Probability that energy estimate is out of 3dB threshold as compared with true energy.</w:t>
      </w:r>
    </w:p>
    <w:p w14:paraId="05B50E1D" w14:textId="77777777" w:rsidR="002E200C" w:rsidRDefault="002E200C" w:rsidP="00E41DB4">
      <w:pPr>
        <w:jc w:val="both"/>
      </w:pPr>
    </w:p>
    <w:p w14:paraId="0DEB2DDA" w14:textId="77777777" w:rsidR="00632B25" w:rsidRPr="00632B25" w:rsidRDefault="00632B25" w:rsidP="00632B25">
      <w:pPr>
        <w:jc w:val="both"/>
        <w:rPr>
          <w:color w:val="000000"/>
          <w:lang w:val="en-US" w:eastAsia="en-GB"/>
        </w:rPr>
      </w:pPr>
      <w:r w:rsidRPr="00632B25">
        <w:rPr>
          <w:color w:val="000000"/>
          <w:lang w:val="en-US" w:eastAsia="en-GB"/>
        </w:rPr>
        <w:t xml:space="preserve">The </w:t>
      </w:r>
      <w:r w:rsidR="0086055D">
        <w:rPr>
          <w:color w:val="000000"/>
          <w:lang w:val="en-US" w:eastAsia="en-GB"/>
        </w:rPr>
        <w:t xml:space="preserve">key </w:t>
      </w:r>
      <w:r w:rsidRPr="00632B25">
        <w:rPr>
          <w:color w:val="000000"/>
          <w:lang w:val="en-US" w:eastAsia="en-GB"/>
        </w:rPr>
        <w:t>observations from simulation results are as follows:</w:t>
      </w:r>
    </w:p>
    <w:p w14:paraId="124ACA55" w14:textId="77777777" w:rsidR="00632B25" w:rsidRPr="00632B25" w:rsidRDefault="00632B25" w:rsidP="00632B25">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For the fixed number of PRBs the RSSI est</w:t>
      </w:r>
      <w:r w:rsidR="00420DDF">
        <w:rPr>
          <w:rFonts w:ascii="Times New Roman" w:hAnsi="Times New Roman"/>
          <w:color w:val="000000"/>
          <w:sz w:val="20"/>
          <w:szCs w:val="20"/>
          <w:lang w:eastAsia="en-GB"/>
        </w:rPr>
        <w:t>imation</w:t>
      </w:r>
      <w:r w:rsidRPr="00632B25">
        <w:rPr>
          <w:rFonts w:ascii="Times New Roman" w:hAnsi="Times New Roman"/>
          <w:color w:val="000000"/>
          <w:sz w:val="20"/>
          <w:szCs w:val="20"/>
          <w:lang w:eastAsia="en-GB"/>
        </w:rPr>
        <w:t xml:space="preserve"> time is reduced for higher SCS</w:t>
      </w:r>
    </w:p>
    <w:p w14:paraId="5A40D2F4" w14:textId="77777777" w:rsidR="00632B25" w:rsidRPr="00632B25" w:rsidRDefault="00632B25" w:rsidP="00632B25">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For t</w:t>
      </w:r>
      <w:r w:rsidR="0044409A">
        <w:rPr>
          <w:rFonts w:ascii="Times New Roman" w:hAnsi="Times New Roman"/>
          <w:color w:val="000000"/>
          <w:sz w:val="20"/>
          <w:szCs w:val="20"/>
          <w:lang w:eastAsia="en-GB"/>
        </w:rPr>
        <w:t>he fixed effective TX BW (e.g. 20 PRBs for 15kHz SCS, 10 PRBs for 30kHz and 5</w:t>
      </w:r>
      <w:r w:rsidRPr="00632B25">
        <w:rPr>
          <w:rFonts w:ascii="Times New Roman" w:hAnsi="Times New Roman"/>
          <w:color w:val="000000"/>
          <w:sz w:val="20"/>
          <w:szCs w:val="20"/>
          <w:lang w:eastAsia="en-GB"/>
        </w:rPr>
        <w:t xml:space="preserve"> PRB for 60kHz) the RSSI est</w:t>
      </w:r>
      <w:r w:rsidR="00420DDF">
        <w:rPr>
          <w:rFonts w:ascii="Times New Roman" w:hAnsi="Times New Roman"/>
          <w:color w:val="000000"/>
          <w:sz w:val="20"/>
          <w:szCs w:val="20"/>
          <w:lang w:eastAsia="en-GB"/>
        </w:rPr>
        <w:t>imation</w:t>
      </w:r>
      <w:r w:rsidRPr="00632B25">
        <w:rPr>
          <w:rFonts w:ascii="Times New Roman" w:hAnsi="Times New Roman"/>
          <w:color w:val="000000"/>
          <w:sz w:val="20"/>
          <w:szCs w:val="20"/>
          <w:lang w:eastAsia="en-GB"/>
        </w:rPr>
        <w:t xml:space="preserve"> time is </w:t>
      </w:r>
      <w:r w:rsidR="0086055D">
        <w:rPr>
          <w:rFonts w:ascii="Times New Roman" w:hAnsi="Times New Roman"/>
          <w:color w:val="000000"/>
          <w:sz w:val="20"/>
          <w:szCs w:val="20"/>
          <w:lang w:eastAsia="en-GB"/>
        </w:rPr>
        <w:t xml:space="preserve">almost </w:t>
      </w:r>
      <w:r w:rsidRPr="00632B25">
        <w:rPr>
          <w:rFonts w:ascii="Times New Roman" w:hAnsi="Times New Roman"/>
          <w:color w:val="000000"/>
          <w:sz w:val="20"/>
          <w:szCs w:val="20"/>
          <w:lang w:eastAsia="en-GB"/>
        </w:rPr>
        <w:t>same for all SCS</w:t>
      </w:r>
    </w:p>
    <w:p w14:paraId="03E9BDB3" w14:textId="77777777" w:rsidR="00632B25" w:rsidRPr="00632B25" w:rsidRDefault="00632B25" w:rsidP="00632B25">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lastRenderedPageBreak/>
        <w:t>RSSI estimation time is reduced for lower SNR</w:t>
      </w:r>
    </w:p>
    <w:p w14:paraId="391F3473" w14:textId="77777777" w:rsidR="00900C25" w:rsidRDefault="00632B25" w:rsidP="007C5A8F">
      <w:pPr>
        <w:pStyle w:val="ListParagraph"/>
        <w:numPr>
          <w:ilvl w:val="0"/>
          <w:numId w:val="28"/>
        </w:numPr>
        <w:jc w:val="both"/>
        <w:rPr>
          <w:rFonts w:ascii="Times New Roman" w:hAnsi="Times New Roman"/>
          <w:color w:val="000000"/>
          <w:sz w:val="20"/>
          <w:szCs w:val="20"/>
          <w:lang w:eastAsia="en-GB"/>
        </w:rPr>
      </w:pPr>
      <w:r w:rsidRPr="00632B25">
        <w:rPr>
          <w:rFonts w:ascii="Times New Roman" w:hAnsi="Times New Roman"/>
          <w:color w:val="000000"/>
          <w:sz w:val="20"/>
          <w:szCs w:val="20"/>
          <w:lang w:eastAsia="en-GB"/>
        </w:rPr>
        <w:t>RSSI estimation time is almost same for different modulations</w:t>
      </w:r>
    </w:p>
    <w:p w14:paraId="7D2BF0FF" w14:textId="77777777" w:rsidR="0086055D" w:rsidRPr="007C5A8F" w:rsidRDefault="0086055D" w:rsidP="007C5A8F">
      <w:pPr>
        <w:pStyle w:val="ListParagraph"/>
        <w:numPr>
          <w:ilvl w:val="0"/>
          <w:numId w:val="28"/>
        </w:numPr>
        <w:jc w:val="both"/>
        <w:rPr>
          <w:rFonts w:ascii="Times New Roman" w:hAnsi="Times New Roman"/>
          <w:color w:val="000000"/>
          <w:sz w:val="20"/>
          <w:szCs w:val="20"/>
          <w:lang w:eastAsia="en-GB"/>
        </w:rPr>
      </w:pPr>
      <w:r>
        <w:rPr>
          <w:rFonts w:ascii="Times New Roman" w:hAnsi="Times New Roman"/>
          <w:color w:val="000000"/>
          <w:sz w:val="20"/>
          <w:szCs w:val="20"/>
          <w:lang w:eastAsia="en-GB"/>
        </w:rPr>
        <w:t>Reliable RSSI estimation within 10us can be achieved if the V2X resource allocation is limited by 8/4/2 PRBs for 15/30/60 kHz respectively</w:t>
      </w:r>
    </w:p>
    <w:p w14:paraId="682E8C8C" w14:textId="5FA5C5E7" w:rsidR="00CF5319" w:rsidRPr="00CB7AEF" w:rsidRDefault="00CF5319" w:rsidP="00CF5319">
      <w:pPr>
        <w:tabs>
          <w:tab w:val="left" w:pos="1560"/>
        </w:tabs>
        <w:ind w:left="1560" w:hanging="1560"/>
        <w:jc w:val="both"/>
        <w:rPr>
          <w:b/>
          <w:i/>
        </w:rPr>
      </w:pPr>
      <w:r w:rsidRPr="00CB7AEF">
        <w:rPr>
          <w:b/>
          <w:i/>
        </w:rPr>
        <w:t>Observation #1:</w:t>
      </w:r>
      <w:r>
        <w:rPr>
          <w:b/>
          <w:i/>
        </w:rPr>
        <w:tab/>
      </w:r>
      <w:r w:rsidRPr="00CB7AEF">
        <w:rPr>
          <w:b/>
          <w:i/>
          <w:color w:val="000000"/>
          <w:lang w:eastAsia="en-GB"/>
        </w:rPr>
        <w:t>Reliable RSSI estimation within 10us can be achieved if the V2X resource allocation is limited by 8/4/2 PRBs for 15/30/60 kHz respectively</w:t>
      </w:r>
    </w:p>
    <w:p w14:paraId="19C962F2" w14:textId="5A02CC67" w:rsidR="00032905" w:rsidRDefault="001C3227" w:rsidP="00E41DB4">
      <w:pPr>
        <w:jc w:val="both"/>
      </w:pPr>
      <w:r>
        <w:t>For (</w:t>
      </w:r>
      <w:r w:rsidR="00F55C34">
        <w:t>c</w:t>
      </w:r>
      <w:r>
        <w:t>)+(</w:t>
      </w:r>
      <w:r w:rsidR="00F55C34">
        <w:t>d</w:t>
      </w:r>
      <w:r>
        <w:t xml:space="preserve">), </w:t>
      </w:r>
      <w:r w:rsidR="00C84C6D">
        <w:t>the time for programming the AGC gain plus the time for applying the gain, it</w:t>
      </w:r>
      <w:r w:rsidR="00E41DB4" w:rsidRPr="001C73C4">
        <w:t xml:space="preserve"> </w:t>
      </w:r>
      <w:r w:rsidR="00C84C6D">
        <w:t xml:space="preserve">eventually </w:t>
      </w:r>
      <w:r w:rsidR="00E41DB4" w:rsidRPr="001C73C4">
        <w:t xml:space="preserve">depends on UE implementation. </w:t>
      </w:r>
      <w:r w:rsidR="00815292">
        <w:t>Specifically, the</w:t>
      </w:r>
      <w:r w:rsidR="00DE085C">
        <w:t xml:space="preserve"> AGC gain calculation time in firmware</w:t>
      </w:r>
      <w:r w:rsidR="008B3A40">
        <w:t xml:space="preserve"> </w:t>
      </w:r>
      <w:r w:rsidR="00807801">
        <w:t xml:space="preserve">may depend on the </w:t>
      </w:r>
      <w:r w:rsidR="00DE085C">
        <w:t>number of carriers</w:t>
      </w:r>
      <w:r w:rsidR="00807801">
        <w:t>,</w:t>
      </w:r>
      <w:r w:rsidR="00DE085C">
        <w:t xml:space="preserve"> number of Rx</w:t>
      </w:r>
      <w:r w:rsidR="00807801">
        <w:t xml:space="preserve"> chains and other factors</w:t>
      </w:r>
      <w:r w:rsidR="00DE085C">
        <w:t>.</w:t>
      </w:r>
      <w:r w:rsidR="00751EE4">
        <w:t xml:space="preserve"> For example, </w:t>
      </w:r>
      <w:r w:rsidR="00815292">
        <w:t xml:space="preserve">when UE operates on multiple carrier components, </w:t>
      </w:r>
      <w:r w:rsidR="00751EE4">
        <w:t xml:space="preserve">the AGC calculation time </w:t>
      </w:r>
      <w:r w:rsidR="00815292">
        <w:t>can be</w:t>
      </w:r>
      <w:r w:rsidR="00751EE4">
        <w:t xml:space="preserve"> </w:t>
      </w:r>
      <w:r w:rsidR="00815292">
        <w:t>multiple times of that for</w:t>
      </w:r>
      <w:r w:rsidR="00751EE4">
        <w:t xml:space="preserve"> single carrier</w:t>
      </w:r>
      <w:r w:rsidR="00815292">
        <w:t xml:space="preserve"> case if AGC gain is calculated for each carrier in a sequential way</w:t>
      </w:r>
      <w:r w:rsidR="00751EE4">
        <w:t>.</w:t>
      </w:r>
      <w:r w:rsidR="00CF5319">
        <w:t xml:space="preserve"> Alternatively, the AGC gain calculation can be performed in a parallel manner but would require substantial additional processing power and die size increase.</w:t>
      </w:r>
    </w:p>
    <w:p w14:paraId="20D6EAE9" w14:textId="237D21AC" w:rsidR="00CF5319" w:rsidRPr="00926A5E" w:rsidRDefault="00CF5319" w:rsidP="00CF5319">
      <w:pPr>
        <w:ind w:left="1560" w:hanging="1560"/>
        <w:jc w:val="both"/>
        <w:rPr>
          <w:b/>
          <w:i/>
        </w:rPr>
      </w:pPr>
      <w:r w:rsidRPr="00926A5E">
        <w:rPr>
          <w:b/>
          <w:i/>
        </w:rPr>
        <w:t>Observation #</w:t>
      </w:r>
      <w:r>
        <w:rPr>
          <w:b/>
          <w:i/>
        </w:rPr>
        <w:t>2</w:t>
      </w:r>
      <w:r w:rsidRPr="00926A5E">
        <w:rPr>
          <w:b/>
          <w:i/>
        </w:rPr>
        <w:t>:</w:t>
      </w:r>
      <w:r w:rsidRPr="00CF5319">
        <w:rPr>
          <w:b/>
          <w:i/>
        </w:rPr>
        <w:t xml:space="preserve"> </w:t>
      </w:r>
      <w:r>
        <w:rPr>
          <w:b/>
          <w:i/>
        </w:rPr>
        <w:tab/>
      </w:r>
      <w:r w:rsidRPr="00926A5E">
        <w:rPr>
          <w:b/>
          <w:i/>
        </w:rPr>
        <w:t>AGC gain calculation time may depend on number of Rx chains, and number of CCs.</w:t>
      </w:r>
    </w:p>
    <w:p w14:paraId="12818965" w14:textId="12DFB147" w:rsidR="00CF5319" w:rsidRDefault="003678C7" w:rsidP="00E41DB4">
      <w:pPr>
        <w:jc w:val="both"/>
      </w:pPr>
      <w:r>
        <w:t xml:space="preserve">Thus the AGC settling time </w:t>
      </w:r>
      <w:r w:rsidR="00A07A9B">
        <w:t xml:space="preserve">depends on </w:t>
      </w:r>
      <w:r>
        <w:t>signal bandwidth, number of Rx, and number of carriers</w:t>
      </w:r>
      <w:r w:rsidR="00A07A9B">
        <w:t xml:space="preserve"> in use</w:t>
      </w:r>
      <w:r>
        <w:t>.</w:t>
      </w:r>
      <w:r w:rsidR="00E05495">
        <w:t xml:space="preserve"> To determine the AGC settling time, one needs to consider the worst case scenario for all the possible implementation. </w:t>
      </w:r>
      <w:r w:rsidR="00807801">
        <w:t xml:space="preserve">Same time, using different AGC settling time values for different scenarios may complicate the V2X system design and we recommend using </w:t>
      </w:r>
      <w:r w:rsidR="00CF5319">
        <w:t xml:space="preserve">a </w:t>
      </w:r>
      <w:r w:rsidR="00807801">
        <w:t xml:space="preserve">single </w:t>
      </w:r>
      <w:r w:rsidR="00CF5319">
        <w:t xml:space="preserve">set of </w:t>
      </w:r>
      <w:r w:rsidR="00807801">
        <w:t xml:space="preserve">values which would allow sufficient AGC accuracy under various target uses cases. </w:t>
      </w:r>
      <w:r w:rsidR="00CF5319">
        <w:t>For instance it is expected that in the future the V2X support can be extended for the support of multi-carrier operation (even in case the initial release will support a single carrier). Therefore, in case the AGC settling time values in Rel-16 are defined with respect to a single carrier operation, further extension of the settling time for multi-carrier case may not be feasible from the physical layer design perspective and will require substantial redesign efforts.</w:t>
      </w:r>
    </w:p>
    <w:p w14:paraId="371996DB" w14:textId="665D8BAB" w:rsidR="00CF5319" w:rsidRPr="00926A5E" w:rsidRDefault="00CF5319" w:rsidP="00CF5319">
      <w:pPr>
        <w:ind w:left="1560" w:hanging="1560"/>
        <w:jc w:val="both"/>
        <w:rPr>
          <w:b/>
          <w:i/>
        </w:rPr>
      </w:pPr>
      <w:r w:rsidRPr="00926A5E">
        <w:rPr>
          <w:b/>
          <w:i/>
        </w:rPr>
        <w:t>Observation #</w:t>
      </w:r>
      <w:r>
        <w:rPr>
          <w:b/>
          <w:i/>
        </w:rPr>
        <w:t>3</w:t>
      </w:r>
      <w:r w:rsidRPr="00926A5E">
        <w:rPr>
          <w:b/>
          <w:i/>
        </w:rPr>
        <w:t>:</w:t>
      </w:r>
      <w:r w:rsidRPr="00CF5319">
        <w:rPr>
          <w:b/>
          <w:i/>
        </w:rPr>
        <w:t xml:space="preserve"> </w:t>
      </w:r>
      <w:r>
        <w:rPr>
          <w:b/>
          <w:i/>
        </w:rPr>
        <w:tab/>
      </w:r>
      <w:r w:rsidRPr="00926A5E">
        <w:rPr>
          <w:b/>
          <w:i/>
        </w:rPr>
        <w:t>The worst</w:t>
      </w:r>
      <w:r w:rsidRPr="00D14C8C">
        <w:rPr>
          <w:b/>
        </w:rPr>
        <w:t xml:space="preserve"> </w:t>
      </w:r>
      <w:r w:rsidRPr="00926A5E">
        <w:rPr>
          <w:b/>
          <w:i/>
        </w:rPr>
        <w:t xml:space="preserve">case scenario </w:t>
      </w:r>
      <w:r>
        <w:rPr>
          <w:b/>
          <w:i/>
        </w:rPr>
        <w:t>in terms of number of CCs and RX chains</w:t>
      </w:r>
      <w:r w:rsidRPr="00926A5E">
        <w:rPr>
          <w:b/>
          <w:i/>
        </w:rPr>
        <w:t xml:space="preserve"> should be considered for determining AGC settling time.</w:t>
      </w:r>
    </w:p>
    <w:p w14:paraId="5DE59E93" w14:textId="2AA09B94" w:rsidR="00DE085C" w:rsidRPr="00900C25" w:rsidRDefault="003678C7" w:rsidP="00E41DB4">
      <w:pPr>
        <w:jc w:val="both"/>
      </w:pPr>
      <w:r>
        <w:t xml:space="preserve">Based on our </w:t>
      </w:r>
      <w:r w:rsidR="00807801">
        <w:t xml:space="preserve">assessment </w:t>
      </w:r>
      <w:r>
        <w:t xml:space="preserve">the worst case </w:t>
      </w:r>
      <w:r w:rsidR="00807801">
        <w:t>AGC settling time corresponding to the case of</w:t>
      </w:r>
      <w:r>
        <w:t xml:space="preserve"> </w:t>
      </w:r>
      <w:r w:rsidR="00807801">
        <w:t xml:space="preserve">4 CC x </w:t>
      </w:r>
      <w:r>
        <w:t>10 MHz BW</w:t>
      </w:r>
      <w:r w:rsidR="00CF5319">
        <w:t xml:space="preserve"> with</w:t>
      </w:r>
      <w:r>
        <w:t xml:space="preserve"> 4 R</w:t>
      </w:r>
      <w:r w:rsidR="0044409A">
        <w:t>x</w:t>
      </w:r>
      <w:r w:rsidR="00CF5319">
        <w:t xml:space="preserve"> chain</w:t>
      </w:r>
      <w:r w:rsidR="00807801">
        <w:t xml:space="preserve"> </w:t>
      </w:r>
      <w:r w:rsidR="001565AD">
        <w:t xml:space="preserve">is </w:t>
      </w:r>
      <w:r w:rsidR="00815292">
        <w:t>~35</w:t>
      </w:r>
      <w:r w:rsidR="00807801">
        <w:t xml:space="preserve">us which is roughly aligned with a single </w:t>
      </w:r>
      <w:r w:rsidR="001565AD">
        <w:t xml:space="preserve">symbol </w:t>
      </w:r>
      <w:r w:rsidR="00807801">
        <w:t xml:space="preserve">duration for </w:t>
      </w:r>
      <w:r w:rsidR="001565AD">
        <w:t>30kHz SCS.</w:t>
      </w:r>
    </w:p>
    <w:p w14:paraId="4F22563D" w14:textId="0EAA6CF6" w:rsidR="0086055D" w:rsidRDefault="003678C7" w:rsidP="004523A6">
      <w:pPr>
        <w:ind w:left="1276" w:hanging="1276"/>
        <w:jc w:val="both"/>
        <w:rPr>
          <w:b/>
        </w:rPr>
      </w:pPr>
      <w:r>
        <w:rPr>
          <w:b/>
        </w:rPr>
        <w:t>Proposal</w:t>
      </w:r>
      <w:r w:rsidRPr="003678C7">
        <w:rPr>
          <w:b/>
        </w:rPr>
        <w:t xml:space="preserve"> #1:</w:t>
      </w:r>
      <w:r w:rsidR="004523A6">
        <w:rPr>
          <w:b/>
        </w:rPr>
        <w:t xml:space="preserve"> </w:t>
      </w:r>
      <w:r w:rsidR="00F04916">
        <w:rPr>
          <w:b/>
        </w:rPr>
        <w:t>For NR V2X</w:t>
      </w:r>
      <w:r w:rsidR="0086055D">
        <w:rPr>
          <w:b/>
        </w:rPr>
        <w:t xml:space="preserve"> for FR1</w:t>
      </w:r>
    </w:p>
    <w:p w14:paraId="73534E47" w14:textId="1C605E36" w:rsidR="00F04916" w:rsidRPr="0086055D" w:rsidRDefault="0086055D" w:rsidP="003002D7">
      <w:pPr>
        <w:numPr>
          <w:ilvl w:val="2"/>
          <w:numId w:val="24"/>
        </w:numPr>
        <w:snapToGrid w:val="0"/>
        <w:spacing w:before="0"/>
        <w:jc w:val="both"/>
        <w:rPr>
          <w:b/>
          <w:bCs/>
        </w:rPr>
      </w:pPr>
      <w:r>
        <w:rPr>
          <w:b/>
          <w:bCs/>
        </w:rPr>
        <w:t>Sa</w:t>
      </w:r>
      <w:r w:rsidRPr="0086055D">
        <w:rPr>
          <w:b/>
          <w:bCs/>
        </w:rPr>
        <w:t xml:space="preserve">me </w:t>
      </w:r>
      <w:r w:rsidR="00815292">
        <w:rPr>
          <w:b/>
          <w:bCs/>
        </w:rPr>
        <w:t>AGC settling time of 35</w:t>
      </w:r>
      <w:r w:rsidR="00F04916" w:rsidRPr="0086055D">
        <w:rPr>
          <w:b/>
          <w:bCs/>
        </w:rPr>
        <w:t xml:space="preserve">us </w:t>
      </w:r>
      <w:r w:rsidR="004523A6" w:rsidRPr="0086055D">
        <w:rPr>
          <w:b/>
          <w:bCs/>
        </w:rPr>
        <w:t xml:space="preserve">is used </w:t>
      </w:r>
      <w:r w:rsidR="00F04916" w:rsidRPr="0086055D">
        <w:rPr>
          <w:b/>
          <w:bCs/>
        </w:rPr>
        <w:t>for different SCS</w:t>
      </w:r>
      <w:r w:rsidR="004523A6" w:rsidRPr="0086055D">
        <w:rPr>
          <w:b/>
          <w:bCs/>
        </w:rPr>
        <w:t>.</w:t>
      </w:r>
    </w:p>
    <w:p w14:paraId="0D173AA3" w14:textId="77777777" w:rsidR="00AA2BED" w:rsidRPr="0086055D" w:rsidRDefault="00AA2BED" w:rsidP="00AA2BED">
      <w:pPr>
        <w:numPr>
          <w:ilvl w:val="2"/>
          <w:numId w:val="24"/>
        </w:numPr>
        <w:snapToGrid w:val="0"/>
        <w:spacing w:before="0"/>
        <w:jc w:val="both"/>
        <w:rPr>
          <w:b/>
          <w:bCs/>
        </w:rPr>
      </w:pPr>
      <w:r w:rsidRPr="0086055D">
        <w:rPr>
          <w:b/>
          <w:bCs/>
        </w:rPr>
        <w:t>V2X resource allocation constraints</w:t>
      </w:r>
      <w:r>
        <w:rPr>
          <w:b/>
          <w:bCs/>
        </w:rPr>
        <w:t xml:space="preserve"> are applied </w:t>
      </w:r>
      <w:r w:rsidRPr="0086055D">
        <w:rPr>
          <w:b/>
          <w:bCs/>
        </w:rPr>
        <w:t xml:space="preserve">to restrict the RSSI estimation time:  </w:t>
      </w:r>
    </w:p>
    <w:p w14:paraId="4F3135C3" w14:textId="77777777" w:rsidR="00AA2BED" w:rsidRPr="00F04916" w:rsidRDefault="00AA2BED" w:rsidP="00AA2BED">
      <w:pPr>
        <w:numPr>
          <w:ilvl w:val="3"/>
          <w:numId w:val="24"/>
        </w:numPr>
        <w:snapToGrid w:val="0"/>
        <w:spacing w:before="0"/>
        <w:jc w:val="both"/>
        <w:rPr>
          <w:b/>
          <w:bCs/>
        </w:rPr>
      </w:pPr>
      <w:r>
        <w:rPr>
          <w:b/>
          <w:bCs/>
        </w:rPr>
        <w:t xml:space="preserve">At least 8 </w:t>
      </w:r>
      <w:r w:rsidRPr="00F04916">
        <w:rPr>
          <w:b/>
          <w:bCs/>
        </w:rPr>
        <w:t>RBs for 15kHz</w:t>
      </w:r>
      <w:r>
        <w:rPr>
          <w:b/>
          <w:bCs/>
        </w:rPr>
        <w:t xml:space="preserve"> SCS</w:t>
      </w:r>
    </w:p>
    <w:p w14:paraId="2DE85CAC" w14:textId="77777777" w:rsidR="00AA2BED" w:rsidRPr="00F04916" w:rsidRDefault="00AA2BED" w:rsidP="00AA2BED">
      <w:pPr>
        <w:numPr>
          <w:ilvl w:val="3"/>
          <w:numId w:val="24"/>
        </w:numPr>
        <w:snapToGrid w:val="0"/>
        <w:spacing w:before="0"/>
        <w:jc w:val="both"/>
        <w:rPr>
          <w:b/>
          <w:bCs/>
        </w:rPr>
      </w:pPr>
      <w:r w:rsidRPr="00F04916">
        <w:rPr>
          <w:b/>
          <w:bCs/>
        </w:rPr>
        <w:t>At leas</w:t>
      </w:r>
      <w:r>
        <w:rPr>
          <w:b/>
          <w:bCs/>
        </w:rPr>
        <w:t>t 4</w:t>
      </w:r>
      <w:r w:rsidRPr="00F04916">
        <w:rPr>
          <w:b/>
          <w:bCs/>
        </w:rPr>
        <w:t xml:space="preserve"> RBs for 30kHz</w:t>
      </w:r>
      <w:r>
        <w:rPr>
          <w:b/>
          <w:bCs/>
        </w:rPr>
        <w:t xml:space="preserve"> SCS</w:t>
      </w:r>
    </w:p>
    <w:p w14:paraId="4637FC5D" w14:textId="77777777" w:rsidR="00AA2BED" w:rsidRPr="00E718EB" w:rsidRDefault="00AA2BED" w:rsidP="00AA2BED">
      <w:pPr>
        <w:numPr>
          <w:ilvl w:val="3"/>
          <w:numId w:val="24"/>
        </w:numPr>
        <w:snapToGrid w:val="0"/>
        <w:spacing w:before="0"/>
        <w:jc w:val="both"/>
        <w:rPr>
          <w:b/>
          <w:bCs/>
        </w:rPr>
      </w:pPr>
      <w:r>
        <w:rPr>
          <w:b/>
          <w:bCs/>
        </w:rPr>
        <w:t>At least 2</w:t>
      </w:r>
      <w:r w:rsidRPr="00F04916">
        <w:rPr>
          <w:b/>
          <w:bCs/>
        </w:rPr>
        <w:t xml:space="preserve"> RBs for 60kHz</w:t>
      </w:r>
      <w:r>
        <w:rPr>
          <w:b/>
          <w:bCs/>
        </w:rPr>
        <w:t xml:space="preserve"> SCS</w:t>
      </w:r>
    </w:p>
    <w:p w14:paraId="16829BD3" w14:textId="77777777" w:rsidR="00CD2B04" w:rsidRPr="009C2D12" w:rsidRDefault="00CD2B04" w:rsidP="009C2D12">
      <w:pPr>
        <w:pStyle w:val="Heading1"/>
      </w:pPr>
      <w:r w:rsidRPr="009C2D12">
        <w:t>Conclusions</w:t>
      </w:r>
    </w:p>
    <w:p w14:paraId="6DD060AF" w14:textId="403BE544" w:rsidR="00E05495" w:rsidRDefault="00E41DB4" w:rsidP="00CB7AEF">
      <w:pPr>
        <w:jc w:val="both"/>
      </w:pPr>
      <w:r w:rsidRPr="00A204ED">
        <w:t xml:space="preserve">In this contribution we provided </w:t>
      </w:r>
      <w:r w:rsidR="00AF33CC">
        <w:t xml:space="preserve">the views on the </w:t>
      </w:r>
      <w:r w:rsidR="009C5BF1">
        <w:t xml:space="preserve">AGC settling time </w:t>
      </w:r>
      <w:r w:rsidRPr="00A204ED">
        <w:t>for NR V2X. In summary we make the following proposals:</w:t>
      </w:r>
    </w:p>
    <w:p w14:paraId="4D87837E" w14:textId="77777777" w:rsidR="00CF5319" w:rsidRPr="00926A5E" w:rsidRDefault="00CF5319" w:rsidP="00CF5319">
      <w:pPr>
        <w:tabs>
          <w:tab w:val="left" w:pos="1560"/>
        </w:tabs>
        <w:ind w:left="1560" w:hanging="1560"/>
        <w:jc w:val="both"/>
        <w:rPr>
          <w:b/>
          <w:i/>
        </w:rPr>
      </w:pPr>
      <w:r w:rsidRPr="00926A5E">
        <w:rPr>
          <w:b/>
          <w:i/>
        </w:rPr>
        <w:t>Observation #1:</w:t>
      </w:r>
      <w:r>
        <w:rPr>
          <w:b/>
          <w:i/>
        </w:rPr>
        <w:tab/>
      </w:r>
      <w:r w:rsidRPr="00926A5E">
        <w:rPr>
          <w:b/>
          <w:i/>
          <w:color w:val="000000"/>
          <w:lang w:eastAsia="en-GB"/>
        </w:rPr>
        <w:t>Reliable RSSI estimation within 10us can be achieved if the V2X resource allocation is limited by 8/4/2 PRBs for 15/30/60 kHz respectively</w:t>
      </w:r>
    </w:p>
    <w:p w14:paraId="62CC4BDE" w14:textId="77777777" w:rsidR="00CF5319" w:rsidRPr="00926A5E" w:rsidRDefault="00CF5319" w:rsidP="00CF5319">
      <w:pPr>
        <w:ind w:left="1560" w:hanging="1560"/>
        <w:jc w:val="both"/>
        <w:rPr>
          <w:b/>
          <w:i/>
        </w:rPr>
      </w:pPr>
      <w:r w:rsidRPr="00926A5E">
        <w:rPr>
          <w:b/>
          <w:i/>
        </w:rPr>
        <w:t>Observation #</w:t>
      </w:r>
      <w:r>
        <w:rPr>
          <w:b/>
          <w:i/>
        </w:rPr>
        <w:t>2</w:t>
      </w:r>
      <w:r w:rsidRPr="00926A5E">
        <w:rPr>
          <w:b/>
          <w:i/>
        </w:rPr>
        <w:t>:</w:t>
      </w:r>
      <w:r w:rsidRPr="00CF5319">
        <w:rPr>
          <w:b/>
          <w:i/>
        </w:rPr>
        <w:t xml:space="preserve"> </w:t>
      </w:r>
      <w:r>
        <w:rPr>
          <w:b/>
          <w:i/>
        </w:rPr>
        <w:tab/>
      </w:r>
      <w:r w:rsidRPr="00926A5E">
        <w:rPr>
          <w:b/>
          <w:i/>
        </w:rPr>
        <w:t>AGC gain calculation time may depend on number of Rx chains, and number of CCs.</w:t>
      </w:r>
    </w:p>
    <w:p w14:paraId="52876E58" w14:textId="77777777" w:rsidR="00CF5319" w:rsidRPr="00926A5E" w:rsidRDefault="00CF5319" w:rsidP="00CF5319">
      <w:pPr>
        <w:ind w:left="1560" w:hanging="1560"/>
        <w:jc w:val="both"/>
        <w:rPr>
          <w:b/>
          <w:i/>
        </w:rPr>
      </w:pPr>
      <w:r w:rsidRPr="00926A5E">
        <w:rPr>
          <w:b/>
          <w:i/>
        </w:rPr>
        <w:t>Observation #</w:t>
      </w:r>
      <w:r>
        <w:rPr>
          <w:b/>
          <w:i/>
        </w:rPr>
        <w:t>3</w:t>
      </w:r>
      <w:r w:rsidRPr="00926A5E">
        <w:rPr>
          <w:b/>
          <w:i/>
        </w:rPr>
        <w:t>:</w:t>
      </w:r>
      <w:r w:rsidRPr="00CF5319">
        <w:rPr>
          <w:b/>
          <w:i/>
        </w:rPr>
        <w:t xml:space="preserve"> </w:t>
      </w:r>
      <w:r>
        <w:rPr>
          <w:b/>
          <w:i/>
        </w:rPr>
        <w:tab/>
      </w:r>
      <w:r w:rsidRPr="00926A5E">
        <w:rPr>
          <w:b/>
          <w:i/>
        </w:rPr>
        <w:t>The worst</w:t>
      </w:r>
      <w:r w:rsidRPr="00D14C8C">
        <w:rPr>
          <w:b/>
        </w:rPr>
        <w:t xml:space="preserve"> </w:t>
      </w:r>
      <w:r w:rsidRPr="00926A5E">
        <w:rPr>
          <w:b/>
          <w:i/>
        </w:rPr>
        <w:t xml:space="preserve">case scenario </w:t>
      </w:r>
      <w:r>
        <w:rPr>
          <w:b/>
          <w:i/>
        </w:rPr>
        <w:t>in terms of number of CCs and RX chains</w:t>
      </w:r>
      <w:r w:rsidRPr="00926A5E">
        <w:rPr>
          <w:b/>
          <w:i/>
        </w:rPr>
        <w:t xml:space="preserve"> should be considered for determining AGC settling time.</w:t>
      </w:r>
    </w:p>
    <w:p w14:paraId="356412FD" w14:textId="77777777" w:rsidR="00AA2BED" w:rsidRDefault="009C5BF1" w:rsidP="00AA2BED">
      <w:pPr>
        <w:ind w:left="1276" w:hanging="1276"/>
        <w:jc w:val="both"/>
        <w:rPr>
          <w:b/>
        </w:rPr>
      </w:pPr>
      <w:r>
        <w:rPr>
          <w:b/>
        </w:rPr>
        <w:t>Proposal</w:t>
      </w:r>
      <w:r w:rsidRPr="003678C7">
        <w:rPr>
          <w:b/>
        </w:rPr>
        <w:t xml:space="preserve"> #1:</w:t>
      </w:r>
      <w:r>
        <w:rPr>
          <w:b/>
        </w:rPr>
        <w:t xml:space="preserve"> </w:t>
      </w:r>
      <w:r w:rsidR="00AA2BED">
        <w:rPr>
          <w:b/>
        </w:rPr>
        <w:t>For NR V2X for FR1</w:t>
      </w:r>
    </w:p>
    <w:p w14:paraId="5B394608" w14:textId="77777777" w:rsidR="00AA2BED" w:rsidRPr="0086055D" w:rsidRDefault="00AA2BED" w:rsidP="00AA2BED">
      <w:pPr>
        <w:numPr>
          <w:ilvl w:val="2"/>
          <w:numId w:val="24"/>
        </w:numPr>
        <w:snapToGrid w:val="0"/>
        <w:spacing w:before="0"/>
        <w:jc w:val="both"/>
        <w:rPr>
          <w:b/>
          <w:bCs/>
        </w:rPr>
      </w:pPr>
      <w:r>
        <w:rPr>
          <w:b/>
          <w:bCs/>
        </w:rPr>
        <w:t>Sa</w:t>
      </w:r>
      <w:r w:rsidRPr="0086055D">
        <w:rPr>
          <w:b/>
          <w:bCs/>
        </w:rPr>
        <w:t xml:space="preserve">me </w:t>
      </w:r>
      <w:r>
        <w:rPr>
          <w:b/>
          <w:bCs/>
        </w:rPr>
        <w:t>AGC settling time of 35</w:t>
      </w:r>
      <w:r w:rsidRPr="0086055D">
        <w:rPr>
          <w:b/>
          <w:bCs/>
        </w:rPr>
        <w:t>us is used for different SCS.</w:t>
      </w:r>
    </w:p>
    <w:p w14:paraId="3F407DBE" w14:textId="77777777" w:rsidR="00AA2BED" w:rsidRPr="0086055D" w:rsidRDefault="00AA2BED" w:rsidP="00AA2BED">
      <w:pPr>
        <w:numPr>
          <w:ilvl w:val="2"/>
          <w:numId w:val="24"/>
        </w:numPr>
        <w:snapToGrid w:val="0"/>
        <w:spacing w:before="0"/>
        <w:jc w:val="both"/>
        <w:rPr>
          <w:b/>
          <w:bCs/>
        </w:rPr>
      </w:pPr>
      <w:r w:rsidRPr="0086055D">
        <w:rPr>
          <w:b/>
          <w:bCs/>
        </w:rPr>
        <w:t>V2X resource allocation constraints</w:t>
      </w:r>
      <w:r>
        <w:rPr>
          <w:b/>
          <w:bCs/>
        </w:rPr>
        <w:t xml:space="preserve"> are applied </w:t>
      </w:r>
      <w:r w:rsidRPr="0086055D">
        <w:rPr>
          <w:b/>
          <w:bCs/>
        </w:rPr>
        <w:t xml:space="preserve">to restrict the RSSI estimation time:  </w:t>
      </w:r>
    </w:p>
    <w:p w14:paraId="2824BDE3" w14:textId="77777777" w:rsidR="00AA2BED" w:rsidRPr="00F04916" w:rsidRDefault="00AA2BED" w:rsidP="00AA2BED">
      <w:pPr>
        <w:numPr>
          <w:ilvl w:val="3"/>
          <w:numId w:val="24"/>
        </w:numPr>
        <w:snapToGrid w:val="0"/>
        <w:spacing w:before="0"/>
        <w:jc w:val="both"/>
        <w:rPr>
          <w:b/>
          <w:bCs/>
        </w:rPr>
      </w:pPr>
      <w:r>
        <w:rPr>
          <w:b/>
          <w:bCs/>
        </w:rPr>
        <w:t xml:space="preserve">At least 8 </w:t>
      </w:r>
      <w:r w:rsidRPr="00F04916">
        <w:rPr>
          <w:b/>
          <w:bCs/>
        </w:rPr>
        <w:t>RBs for 15kHz</w:t>
      </w:r>
      <w:r>
        <w:rPr>
          <w:b/>
          <w:bCs/>
        </w:rPr>
        <w:t xml:space="preserve"> SCS</w:t>
      </w:r>
    </w:p>
    <w:p w14:paraId="24957B78" w14:textId="77777777" w:rsidR="00AA2BED" w:rsidRPr="00F04916" w:rsidRDefault="00AA2BED" w:rsidP="00AA2BED">
      <w:pPr>
        <w:numPr>
          <w:ilvl w:val="3"/>
          <w:numId w:val="24"/>
        </w:numPr>
        <w:snapToGrid w:val="0"/>
        <w:spacing w:before="0"/>
        <w:jc w:val="both"/>
        <w:rPr>
          <w:b/>
          <w:bCs/>
        </w:rPr>
      </w:pPr>
      <w:r w:rsidRPr="00F04916">
        <w:rPr>
          <w:b/>
          <w:bCs/>
        </w:rPr>
        <w:t>At leas</w:t>
      </w:r>
      <w:r>
        <w:rPr>
          <w:b/>
          <w:bCs/>
        </w:rPr>
        <w:t>t 4</w:t>
      </w:r>
      <w:r w:rsidRPr="00F04916">
        <w:rPr>
          <w:b/>
          <w:bCs/>
        </w:rPr>
        <w:t xml:space="preserve"> RBs for 30kHz</w:t>
      </w:r>
      <w:r>
        <w:rPr>
          <w:b/>
          <w:bCs/>
        </w:rPr>
        <w:t xml:space="preserve"> SCS</w:t>
      </w:r>
    </w:p>
    <w:p w14:paraId="5758CF04" w14:textId="53BDF71F" w:rsidR="009C5BF1" w:rsidRPr="00AA2BED" w:rsidRDefault="00AA2BED" w:rsidP="00AA2BED">
      <w:pPr>
        <w:numPr>
          <w:ilvl w:val="3"/>
          <w:numId w:val="24"/>
        </w:numPr>
        <w:snapToGrid w:val="0"/>
        <w:spacing w:before="0"/>
        <w:jc w:val="both"/>
        <w:rPr>
          <w:b/>
          <w:bCs/>
        </w:rPr>
      </w:pPr>
      <w:r>
        <w:rPr>
          <w:b/>
          <w:bCs/>
        </w:rPr>
        <w:t>At least 2</w:t>
      </w:r>
      <w:r w:rsidRPr="00F04916">
        <w:rPr>
          <w:b/>
          <w:bCs/>
        </w:rPr>
        <w:t xml:space="preserve"> RBs for 60kHz</w:t>
      </w:r>
      <w:r>
        <w:rPr>
          <w:b/>
          <w:bCs/>
        </w:rPr>
        <w:t xml:space="preserve"> SCS</w:t>
      </w:r>
    </w:p>
    <w:p w14:paraId="6FB0F60B" w14:textId="77777777" w:rsidR="00CD2B04" w:rsidRPr="00EC03EF" w:rsidRDefault="00CD2B04" w:rsidP="009C2D12">
      <w:pPr>
        <w:pStyle w:val="Heading1"/>
        <w:numPr>
          <w:ilvl w:val="0"/>
          <w:numId w:val="0"/>
        </w:numPr>
        <w:rPr>
          <w:lang w:val="en-US"/>
        </w:rPr>
      </w:pPr>
      <w:r w:rsidRPr="00EC03EF">
        <w:lastRenderedPageBreak/>
        <w:t>References</w:t>
      </w:r>
    </w:p>
    <w:p w14:paraId="11A44829" w14:textId="7C149104" w:rsidR="00DA4F49" w:rsidRDefault="00DA4F49" w:rsidP="00DA4F49">
      <w:pPr>
        <w:widowControl w:val="0"/>
        <w:numPr>
          <w:ilvl w:val="0"/>
          <w:numId w:val="8"/>
        </w:numPr>
        <w:jc w:val="both"/>
      </w:pPr>
      <w:r w:rsidRPr="00DA4F49">
        <w:t>R4-19052</w:t>
      </w:r>
      <w:r>
        <w:t>38 “</w:t>
      </w:r>
      <w:r w:rsidRPr="00DA4F49">
        <w:t>WF on RF parameters for NR V2X UE</w:t>
      </w:r>
      <w:r>
        <w:t>”</w:t>
      </w:r>
      <w:r w:rsidRPr="00DA4F49">
        <w:t xml:space="preserve"> </w:t>
      </w:r>
      <w:r>
        <w:t>, LGE, RAN4 #90bis, April 2019</w:t>
      </w:r>
    </w:p>
    <w:p w14:paraId="63D7BF5E" w14:textId="3F516D05" w:rsidR="00DA4F49" w:rsidRDefault="00DA4F49" w:rsidP="00DA4F49">
      <w:pPr>
        <w:widowControl w:val="0"/>
        <w:numPr>
          <w:ilvl w:val="0"/>
          <w:numId w:val="8"/>
        </w:numPr>
        <w:jc w:val="both"/>
      </w:pPr>
      <w:r w:rsidRPr="00DA4F49">
        <w:t>R4-1905241</w:t>
      </w:r>
      <w:r>
        <w:t xml:space="preserve"> “R</w:t>
      </w:r>
      <w:r w:rsidRPr="00DA4F49">
        <w:t>eply LS on NR V2X UE RF parameters for NR V2X service</w:t>
      </w:r>
      <w:r>
        <w:t>”</w:t>
      </w:r>
      <w:r w:rsidRPr="00DA4F49">
        <w:t xml:space="preserve"> </w:t>
      </w:r>
      <w:r>
        <w:t>, RAN4, RAN4 #90bis, April 2019</w:t>
      </w:r>
    </w:p>
    <w:p w14:paraId="72DBEF71" w14:textId="77777777" w:rsidR="00E41DB4" w:rsidRDefault="00234ACF" w:rsidP="00234ACF">
      <w:pPr>
        <w:widowControl w:val="0"/>
        <w:numPr>
          <w:ilvl w:val="0"/>
          <w:numId w:val="8"/>
        </w:numPr>
        <w:jc w:val="both"/>
      </w:pPr>
      <w:r w:rsidRPr="00234ACF">
        <w:t>R4-1902511</w:t>
      </w:r>
      <w:r>
        <w:t>,</w:t>
      </w:r>
      <w:r w:rsidRPr="00234ACF">
        <w:t xml:space="preserve"> </w:t>
      </w:r>
      <w:r w:rsidR="00E41DB4" w:rsidRPr="00313BF9">
        <w:t>“</w:t>
      </w:r>
      <w:r w:rsidRPr="00234ACF">
        <w:t>WF on NR V2X UE RF parameters and transient period</w:t>
      </w:r>
      <w:r w:rsidR="00E41DB4" w:rsidRPr="00313BF9">
        <w:t>”</w:t>
      </w:r>
      <w:r w:rsidR="00E41DB4">
        <w:t>,</w:t>
      </w:r>
      <w:r w:rsidR="00E41DB4" w:rsidRPr="00313BF9">
        <w:t xml:space="preserve"> </w:t>
      </w:r>
      <w:r>
        <w:t>LG, RAN4</w:t>
      </w:r>
      <w:r w:rsidR="00E41DB4">
        <w:t xml:space="preserve"> #9</w:t>
      </w:r>
      <w:r>
        <w:t>0</w:t>
      </w:r>
    </w:p>
    <w:p w14:paraId="7A7DAE2B" w14:textId="77777777" w:rsidR="00E41DB4" w:rsidRDefault="00E41DB4" w:rsidP="00023DD2">
      <w:pPr>
        <w:widowControl w:val="0"/>
        <w:numPr>
          <w:ilvl w:val="0"/>
          <w:numId w:val="8"/>
        </w:numPr>
        <w:jc w:val="both"/>
      </w:pPr>
      <w:r w:rsidRPr="00361739">
        <w:t>R4-140973</w:t>
      </w:r>
      <w:r>
        <w:t>, “</w:t>
      </w:r>
      <w:r w:rsidRPr="00361739">
        <w:t>AGC and Frequency Error for D2D</w:t>
      </w:r>
      <w:r w:rsidR="00B82070">
        <w:t>”, Qualcomm, RAN4 #70</w:t>
      </w:r>
    </w:p>
    <w:p w14:paraId="428FAC05" w14:textId="77777777"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2F319B">
      <w:headerReference w:type="even" r:id="rId23"/>
      <w:footerReference w:type="even" r:id="rId24"/>
      <w:footerReference w:type="default" r:id="rId2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AEE03" w14:textId="77777777" w:rsidR="00D60961" w:rsidRDefault="00D60961">
      <w:r>
        <w:separator/>
      </w:r>
    </w:p>
  </w:endnote>
  <w:endnote w:type="continuationSeparator" w:id="0">
    <w:p w14:paraId="2B6C559F" w14:textId="77777777" w:rsidR="00D60961" w:rsidRDefault="00D60961">
      <w:r>
        <w:continuationSeparator/>
      </w:r>
    </w:p>
  </w:endnote>
  <w:endnote w:type="continuationNotice" w:id="1">
    <w:p w14:paraId="61C7573C" w14:textId="77777777" w:rsidR="00D60961" w:rsidRDefault="00D609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C3131" w14:textId="77777777" w:rsidR="003542BB" w:rsidRDefault="003542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B7FAF7" w14:textId="77777777" w:rsidR="003542BB" w:rsidRDefault="003542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C4B13" w14:textId="77777777" w:rsidR="003542BB" w:rsidRPr="00DB1239" w:rsidRDefault="003542BB"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CB7AE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7AE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1CFE4" w14:textId="77777777" w:rsidR="00D60961" w:rsidRDefault="00D60961">
      <w:r>
        <w:separator/>
      </w:r>
    </w:p>
  </w:footnote>
  <w:footnote w:type="continuationSeparator" w:id="0">
    <w:p w14:paraId="33AA231C" w14:textId="77777777" w:rsidR="00D60961" w:rsidRDefault="00D60961">
      <w:r>
        <w:continuationSeparator/>
      </w:r>
    </w:p>
  </w:footnote>
  <w:footnote w:type="continuationNotice" w:id="1">
    <w:p w14:paraId="42141485" w14:textId="77777777" w:rsidR="00D60961" w:rsidRDefault="00D6096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6075F" w14:textId="77777777" w:rsidR="003542BB" w:rsidRDefault="0035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BC6F27"/>
    <w:multiLevelType w:val="multilevel"/>
    <w:tmpl w:val="EE7A4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AA7A42"/>
    <w:multiLevelType w:val="hybridMultilevel"/>
    <w:tmpl w:val="11B48E9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5" w15:restartNumberingAfterBreak="0">
    <w:nsid w:val="17AB3136"/>
    <w:multiLevelType w:val="hybridMultilevel"/>
    <w:tmpl w:val="BA9A2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6" w15:restartNumberingAfterBreak="0">
    <w:nsid w:val="3FC47CB2"/>
    <w:multiLevelType w:val="hybridMultilevel"/>
    <w:tmpl w:val="194CB6C2"/>
    <w:lvl w:ilvl="0" w:tplc="A3FA1A1E">
      <w:start w:val="1"/>
      <w:numFmt w:val="bullet"/>
      <w:lvlText w:val="•"/>
      <w:lvlJc w:val="left"/>
      <w:pPr>
        <w:tabs>
          <w:tab w:val="num" w:pos="360"/>
        </w:tabs>
        <w:ind w:left="360" w:hanging="360"/>
      </w:pPr>
      <w:rPr>
        <w:rFonts w:ascii="Arial" w:hAnsi="Arial" w:hint="default"/>
      </w:rPr>
    </w:lvl>
    <w:lvl w:ilvl="1" w:tplc="5A82C144">
      <w:start w:val="245"/>
      <w:numFmt w:val="bullet"/>
      <w:lvlText w:val="–"/>
      <w:lvlJc w:val="left"/>
      <w:pPr>
        <w:tabs>
          <w:tab w:val="num" w:pos="1080"/>
        </w:tabs>
        <w:ind w:left="1080" w:hanging="360"/>
      </w:pPr>
      <w:rPr>
        <w:rFonts w:ascii="Arial" w:hAnsi="Arial" w:hint="default"/>
      </w:rPr>
    </w:lvl>
    <w:lvl w:ilvl="2" w:tplc="016E1C0A">
      <w:start w:val="245"/>
      <w:numFmt w:val="bullet"/>
      <w:lvlText w:val="•"/>
      <w:lvlJc w:val="left"/>
      <w:pPr>
        <w:tabs>
          <w:tab w:val="num" w:pos="1800"/>
        </w:tabs>
        <w:ind w:left="1800" w:hanging="360"/>
      </w:pPr>
      <w:rPr>
        <w:rFonts w:ascii="Arial" w:hAnsi="Arial" w:hint="default"/>
      </w:rPr>
    </w:lvl>
    <w:lvl w:ilvl="3" w:tplc="16C29680">
      <w:start w:val="245"/>
      <w:numFmt w:val="bullet"/>
      <w:lvlText w:val="–"/>
      <w:lvlJc w:val="left"/>
      <w:pPr>
        <w:tabs>
          <w:tab w:val="num" w:pos="2520"/>
        </w:tabs>
        <w:ind w:left="2520" w:hanging="360"/>
      </w:pPr>
      <w:rPr>
        <w:rFonts w:ascii="Arial" w:hAnsi="Arial" w:hint="default"/>
      </w:rPr>
    </w:lvl>
    <w:lvl w:ilvl="4" w:tplc="14D447D0" w:tentative="1">
      <w:start w:val="1"/>
      <w:numFmt w:val="bullet"/>
      <w:lvlText w:val="•"/>
      <w:lvlJc w:val="left"/>
      <w:pPr>
        <w:tabs>
          <w:tab w:val="num" w:pos="3240"/>
        </w:tabs>
        <w:ind w:left="3240" w:hanging="360"/>
      </w:pPr>
      <w:rPr>
        <w:rFonts w:ascii="Arial" w:hAnsi="Arial" w:hint="default"/>
      </w:rPr>
    </w:lvl>
    <w:lvl w:ilvl="5" w:tplc="740EDAAC" w:tentative="1">
      <w:start w:val="1"/>
      <w:numFmt w:val="bullet"/>
      <w:lvlText w:val="•"/>
      <w:lvlJc w:val="left"/>
      <w:pPr>
        <w:tabs>
          <w:tab w:val="num" w:pos="3960"/>
        </w:tabs>
        <w:ind w:left="3960" w:hanging="360"/>
      </w:pPr>
      <w:rPr>
        <w:rFonts w:ascii="Arial" w:hAnsi="Arial" w:hint="default"/>
      </w:rPr>
    </w:lvl>
    <w:lvl w:ilvl="6" w:tplc="AC5E31AE" w:tentative="1">
      <w:start w:val="1"/>
      <w:numFmt w:val="bullet"/>
      <w:lvlText w:val="•"/>
      <w:lvlJc w:val="left"/>
      <w:pPr>
        <w:tabs>
          <w:tab w:val="num" w:pos="4680"/>
        </w:tabs>
        <w:ind w:left="4680" w:hanging="360"/>
      </w:pPr>
      <w:rPr>
        <w:rFonts w:ascii="Arial" w:hAnsi="Arial" w:hint="default"/>
      </w:rPr>
    </w:lvl>
    <w:lvl w:ilvl="7" w:tplc="607CC8DE" w:tentative="1">
      <w:start w:val="1"/>
      <w:numFmt w:val="bullet"/>
      <w:lvlText w:val="•"/>
      <w:lvlJc w:val="left"/>
      <w:pPr>
        <w:tabs>
          <w:tab w:val="num" w:pos="5400"/>
        </w:tabs>
        <w:ind w:left="5400" w:hanging="360"/>
      </w:pPr>
      <w:rPr>
        <w:rFonts w:ascii="Arial" w:hAnsi="Arial" w:hint="default"/>
      </w:rPr>
    </w:lvl>
    <w:lvl w:ilvl="8" w:tplc="A6ACBA8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3" w15:restartNumberingAfterBreak="0">
    <w:nsid w:val="565B34EA"/>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F24F2C"/>
    <w:multiLevelType w:val="hybridMultilevel"/>
    <w:tmpl w:val="0640492E"/>
    <w:lvl w:ilvl="0" w:tplc="B9CEA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1"/>
  </w:num>
  <w:num w:numId="5">
    <w:abstractNumId w:val="9"/>
  </w:num>
  <w:num w:numId="6">
    <w:abstractNumId w:val="4"/>
  </w:num>
  <w:num w:numId="7">
    <w:abstractNumId w:val="21"/>
  </w:num>
  <w:num w:numId="8">
    <w:abstractNumId w:val="8"/>
  </w:num>
  <w:num w:numId="9">
    <w:abstractNumId w:val="7"/>
  </w:num>
  <w:num w:numId="10">
    <w:abstractNumId w:val="17"/>
  </w:num>
  <w:num w:numId="11">
    <w:abstractNumId w:val="20"/>
  </w:num>
  <w:num w:numId="12">
    <w:abstractNumId w:val="22"/>
  </w:num>
  <w:num w:numId="13">
    <w:abstractNumId w:val="25"/>
  </w:num>
  <w:num w:numId="14">
    <w:abstractNumId w:val="19"/>
  </w:num>
  <w:num w:numId="15">
    <w:abstractNumId w:val="2"/>
  </w:num>
  <w:num w:numId="16">
    <w:abstractNumId w:val="26"/>
  </w:num>
  <w:num w:numId="17">
    <w:abstractNumId w:val="28"/>
  </w:num>
  <w:num w:numId="18">
    <w:abstractNumId w:val="15"/>
  </w:num>
  <w:num w:numId="19">
    <w:abstractNumId w:val="14"/>
  </w:num>
  <w:num w:numId="20">
    <w:abstractNumId w:val="24"/>
  </w:num>
  <w:num w:numId="21">
    <w:abstractNumId w:val="10"/>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3"/>
  </w:num>
  <w:num w:numId="27">
    <w:abstractNumId w:val="5"/>
  </w:num>
  <w:num w:numId="28">
    <w:abstractNumId w:val="27"/>
  </w:num>
  <w:num w:numId="2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6D8"/>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27F6"/>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B3A"/>
    <w:rsid w:val="00132D74"/>
    <w:rsid w:val="00132E7E"/>
    <w:rsid w:val="00133067"/>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AB1"/>
    <w:rsid w:val="00146BC8"/>
    <w:rsid w:val="001473A6"/>
    <w:rsid w:val="00147C13"/>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260"/>
    <w:rsid w:val="001565AD"/>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201"/>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6B1"/>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0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ACF"/>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9CE"/>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856"/>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3A24"/>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4D5"/>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1C"/>
    <w:rsid w:val="002D6C69"/>
    <w:rsid w:val="002D7058"/>
    <w:rsid w:val="002D772F"/>
    <w:rsid w:val="002D7833"/>
    <w:rsid w:val="002E018E"/>
    <w:rsid w:val="002E03E6"/>
    <w:rsid w:val="002E04F0"/>
    <w:rsid w:val="002E0661"/>
    <w:rsid w:val="002E086B"/>
    <w:rsid w:val="002E0D41"/>
    <w:rsid w:val="002E0E94"/>
    <w:rsid w:val="002E16BC"/>
    <w:rsid w:val="002E1941"/>
    <w:rsid w:val="002E200C"/>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2D7"/>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3D"/>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8C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978"/>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01"/>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7D9"/>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EE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36D"/>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2F"/>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DDF"/>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09A"/>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E69"/>
    <w:rsid w:val="00447134"/>
    <w:rsid w:val="00447486"/>
    <w:rsid w:val="0044782A"/>
    <w:rsid w:val="00450778"/>
    <w:rsid w:val="00450D3B"/>
    <w:rsid w:val="004518D5"/>
    <w:rsid w:val="004519BF"/>
    <w:rsid w:val="00451A88"/>
    <w:rsid w:val="00451B06"/>
    <w:rsid w:val="00451BEB"/>
    <w:rsid w:val="004523A6"/>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519"/>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CAA"/>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00B"/>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014"/>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2F3D"/>
    <w:rsid w:val="005A320D"/>
    <w:rsid w:val="005A36E3"/>
    <w:rsid w:val="005A3A31"/>
    <w:rsid w:val="005A3B1E"/>
    <w:rsid w:val="005A40D5"/>
    <w:rsid w:val="005A4674"/>
    <w:rsid w:val="005A4999"/>
    <w:rsid w:val="005A4D6E"/>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25"/>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8A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390"/>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047"/>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0F"/>
    <w:rsid w:val="007509F9"/>
    <w:rsid w:val="00750A2B"/>
    <w:rsid w:val="00750EF0"/>
    <w:rsid w:val="007512D3"/>
    <w:rsid w:val="007515C8"/>
    <w:rsid w:val="007517D1"/>
    <w:rsid w:val="00751EE4"/>
    <w:rsid w:val="00751F76"/>
    <w:rsid w:val="00752497"/>
    <w:rsid w:val="0075250F"/>
    <w:rsid w:val="007527B8"/>
    <w:rsid w:val="0075288B"/>
    <w:rsid w:val="00752FE7"/>
    <w:rsid w:val="0075312F"/>
    <w:rsid w:val="007536BB"/>
    <w:rsid w:val="00753B0F"/>
    <w:rsid w:val="00753B9D"/>
    <w:rsid w:val="00753F01"/>
    <w:rsid w:val="0075412E"/>
    <w:rsid w:val="00754D64"/>
    <w:rsid w:val="00754EDC"/>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9DB"/>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508D"/>
    <w:rsid w:val="007C515A"/>
    <w:rsid w:val="007C52ED"/>
    <w:rsid w:val="007C56CE"/>
    <w:rsid w:val="007C5768"/>
    <w:rsid w:val="007C5A8F"/>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742"/>
    <w:rsid w:val="007D357E"/>
    <w:rsid w:val="007D3889"/>
    <w:rsid w:val="007D39A2"/>
    <w:rsid w:val="007D39AC"/>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801"/>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292"/>
    <w:rsid w:val="008154B6"/>
    <w:rsid w:val="008155E8"/>
    <w:rsid w:val="00815706"/>
    <w:rsid w:val="00815E33"/>
    <w:rsid w:val="00815E46"/>
    <w:rsid w:val="00815F85"/>
    <w:rsid w:val="00816654"/>
    <w:rsid w:val="00816A54"/>
    <w:rsid w:val="00816AA4"/>
    <w:rsid w:val="00816AE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5B97"/>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8D6"/>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F99"/>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55D"/>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058"/>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3ED"/>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A40"/>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D09"/>
    <w:rsid w:val="008E517B"/>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C25"/>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8FD"/>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A9A"/>
    <w:rsid w:val="00934F8E"/>
    <w:rsid w:val="009355F0"/>
    <w:rsid w:val="009358ED"/>
    <w:rsid w:val="009359D2"/>
    <w:rsid w:val="00935B52"/>
    <w:rsid w:val="00935BD1"/>
    <w:rsid w:val="0093635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0EBC"/>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DE2"/>
    <w:rsid w:val="009640C7"/>
    <w:rsid w:val="009641CA"/>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F1"/>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4BF"/>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A9B"/>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441"/>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7EA"/>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2DD"/>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AA"/>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BED"/>
    <w:rsid w:val="00AA2CD8"/>
    <w:rsid w:val="00AA2D01"/>
    <w:rsid w:val="00AA30A2"/>
    <w:rsid w:val="00AA3170"/>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440"/>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0EB4"/>
    <w:rsid w:val="00AF109F"/>
    <w:rsid w:val="00AF13DC"/>
    <w:rsid w:val="00AF1414"/>
    <w:rsid w:val="00AF26BE"/>
    <w:rsid w:val="00AF28B0"/>
    <w:rsid w:val="00AF2D55"/>
    <w:rsid w:val="00AF2DED"/>
    <w:rsid w:val="00AF2E7C"/>
    <w:rsid w:val="00AF33C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C91"/>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070"/>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BE1"/>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4F"/>
    <w:rsid w:val="00BD28FD"/>
    <w:rsid w:val="00BD2A08"/>
    <w:rsid w:val="00BD2F55"/>
    <w:rsid w:val="00BD2FDF"/>
    <w:rsid w:val="00BD3545"/>
    <w:rsid w:val="00BD3837"/>
    <w:rsid w:val="00BD386B"/>
    <w:rsid w:val="00BD3C69"/>
    <w:rsid w:val="00BD3C9F"/>
    <w:rsid w:val="00BD3D7A"/>
    <w:rsid w:val="00BD47B4"/>
    <w:rsid w:val="00BD4993"/>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96"/>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36B3"/>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DBF"/>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8F"/>
    <w:rsid w:val="00CA73B2"/>
    <w:rsid w:val="00CA74E8"/>
    <w:rsid w:val="00CA765C"/>
    <w:rsid w:val="00CA7EE9"/>
    <w:rsid w:val="00CB016A"/>
    <w:rsid w:val="00CB047F"/>
    <w:rsid w:val="00CB088B"/>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28"/>
    <w:rsid w:val="00CB7648"/>
    <w:rsid w:val="00CB77AE"/>
    <w:rsid w:val="00CB7AEF"/>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C2F"/>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BAB"/>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751"/>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1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99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C8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846"/>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961"/>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49"/>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76D"/>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2"/>
    <w:rsid w:val="00DD761C"/>
    <w:rsid w:val="00DD76AF"/>
    <w:rsid w:val="00DD7B13"/>
    <w:rsid w:val="00DD7DF3"/>
    <w:rsid w:val="00DE0171"/>
    <w:rsid w:val="00DE01E6"/>
    <w:rsid w:val="00DE0333"/>
    <w:rsid w:val="00DE0558"/>
    <w:rsid w:val="00DE085C"/>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495"/>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B6F"/>
    <w:rsid w:val="00E65E6B"/>
    <w:rsid w:val="00E6640D"/>
    <w:rsid w:val="00E6682F"/>
    <w:rsid w:val="00E701D0"/>
    <w:rsid w:val="00E705E5"/>
    <w:rsid w:val="00E70B0C"/>
    <w:rsid w:val="00E718E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C5A"/>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170"/>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6D8"/>
    <w:rsid w:val="00F0388F"/>
    <w:rsid w:val="00F03891"/>
    <w:rsid w:val="00F03C67"/>
    <w:rsid w:val="00F04551"/>
    <w:rsid w:val="00F04568"/>
    <w:rsid w:val="00F04916"/>
    <w:rsid w:val="00F04AA0"/>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080"/>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7A9"/>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700"/>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550C"/>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C360F"/>
  <w15:chartTrackingRefBased/>
  <w15:docId w15:val="{C136EE6E-C30E-463D-BED4-1EDD7501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Bullet List,FooterTex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Bullet List Char,FooterText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character" w:customStyle="1" w:styleId="CRCoverPageChar">
    <w:name w:val="CR Cover Page Char"/>
    <w:link w:val="CRCoverPage"/>
    <w:locked/>
    <w:rsid w:val="00AC244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8553400">
      <w:bodyDiv w:val="1"/>
      <w:marLeft w:val="0"/>
      <w:marRight w:val="0"/>
      <w:marTop w:val="0"/>
      <w:marBottom w:val="0"/>
      <w:divBdr>
        <w:top w:val="none" w:sz="0" w:space="0" w:color="auto"/>
        <w:left w:val="none" w:sz="0" w:space="0" w:color="auto"/>
        <w:bottom w:val="none" w:sz="0" w:space="0" w:color="auto"/>
        <w:right w:val="none" w:sz="0" w:space="0" w:color="auto"/>
      </w:divBdr>
      <w:divsChild>
        <w:div w:id="262568842">
          <w:marLeft w:val="1800"/>
          <w:marRight w:val="0"/>
          <w:marTop w:val="0"/>
          <w:marBottom w:val="120"/>
          <w:divBdr>
            <w:top w:val="none" w:sz="0" w:space="0" w:color="auto"/>
            <w:left w:val="none" w:sz="0" w:space="0" w:color="auto"/>
            <w:bottom w:val="none" w:sz="0" w:space="0" w:color="auto"/>
            <w:right w:val="none" w:sz="0" w:space="0" w:color="auto"/>
          </w:divBdr>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171423">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7534758">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661059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72249">
      <w:bodyDiv w:val="1"/>
      <w:marLeft w:val="0"/>
      <w:marRight w:val="0"/>
      <w:marTop w:val="0"/>
      <w:marBottom w:val="0"/>
      <w:divBdr>
        <w:top w:val="none" w:sz="0" w:space="0" w:color="auto"/>
        <w:left w:val="none" w:sz="0" w:space="0" w:color="auto"/>
        <w:bottom w:val="none" w:sz="0" w:space="0" w:color="auto"/>
        <w:right w:val="none" w:sz="0" w:space="0" w:color="auto"/>
      </w:divBdr>
    </w:div>
    <w:div w:id="438261779">
      <w:bodyDiv w:val="1"/>
      <w:marLeft w:val="0"/>
      <w:marRight w:val="0"/>
      <w:marTop w:val="0"/>
      <w:marBottom w:val="0"/>
      <w:divBdr>
        <w:top w:val="none" w:sz="0" w:space="0" w:color="auto"/>
        <w:left w:val="none" w:sz="0" w:space="0" w:color="auto"/>
        <w:bottom w:val="none" w:sz="0" w:space="0" w:color="auto"/>
        <w:right w:val="none" w:sz="0" w:space="0" w:color="auto"/>
      </w:divBdr>
    </w:div>
    <w:div w:id="44165356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6067083">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340957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9163742">
      <w:bodyDiv w:val="1"/>
      <w:marLeft w:val="0"/>
      <w:marRight w:val="0"/>
      <w:marTop w:val="0"/>
      <w:marBottom w:val="0"/>
      <w:divBdr>
        <w:top w:val="none" w:sz="0" w:space="0" w:color="auto"/>
        <w:left w:val="none" w:sz="0" w:space="0" w:color="auto"/>
        <w:bottom w:val="none" w:sz="0" w:space="0" w:color="auto"/>
        <w:right w:val="none" w:sz="0" w:space="0" w:color="auto"/>
      </w:divBdr>
      <w:divsChild>
        <w:div w:id="1680958776">
          <w:marLeft w:val="1800"/>
          <w:marRight w:val="0"/>
          <w:marTop w:val="0"/>
          <w:marBottom w:val="12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5930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5862546">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6659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6318961">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3080700">
      <w:bodyDiv w:val="1"/>
      <w:marLeft w:val="0"/>
      <w:marRight w:val="0"/>
      <w:marTop w:val="0"/>
      <w:marBottom w:val="0"/>
      <w:divBdr>
        <w:top w:val="none" w:sz="0" w:space="0" w:color="auto"/>
        <w:left w:val="none" w:sz="0" w:space="0" w:color="auto"/>
        <w:bottom w:val="none" w:sz="0" w:space="0" w:color="auto"/>
        <w:right w:val="none" w:sz="0" w:space="0" w:color="auto"/>
      </w:divBdr>
      <w:divsChild>
        <w:div w:id="407769857">
          <w:marLeft w:val="446"/>
          <w:marRight w:val="0"/>
          <w:marTop w:val="86"/>
          <w:marBottom w:val="0"/>
          <w:divBdr>
            <w:top w:val="none" w:sz="0" w:space="0" w:color="auto"/>
            <w:left w:val="none" w:sz="0" w:space="0" w:color="auto"/>
            <w:bottom w:val="none" w:sz="0" w:space="0" w:color="auto"/>
            <w:right w:val="none" w:sz="0" w:space="0" w:color="auto"/>
          </w:divBdr>
        </w:div>
        <w:div w:id="2021465515">
          <w:marLeft w:val="1166"/>
          <w:marRight w:val="0"/>
          <w:marTop w:val="60"/>
          <w:marBottom w:val="0"/>
          <w:divBdr>
            <w:top w:val="none" w:sz="0" w:space="0" w:color="auto"/>
            <w:left w:val="none" w:sz="0" w:space="0" w:color="auto"/>
            <w:bottom w:val="none" w:sz="0" w:space="0" w:color="auto"/>
            <w:right w:val="none" w:sz="0" w:space="0" w:color="auto"/>
          </w:divBdr>
        </w:div>
        <w:div w:id="899051614">
          <w:marLeft w:val="1166"/>
          <w:marRight w:val="0"/>
          <w:marTop w:val="60"/>
          <w:marBottom w:val="0"/>
          <w:divBdr>
            <w:top w:val="none" w:sz="0" w:space="0" w:color="auto"/>
            <w:left w:val="none" w:sz="0" w:space="0" w:color="auto"/>
            <w:bottom w:val="none" w:sz="0" w:space="0" w:color="auto"/>
            <w:right w:val="none" w:sz="0" w:space="0" w:color="auto"/>
          </w:divBdr>
        </w:div>
        <w:div w:id="1657879473">
          <w:marLeft w:val="1166"/>
          <w:marRight w:val="0"/>
          <w:marTop w:val="60"/>
          <w:marBottom w:val="0"/>
          <w:divBdr>
            <w:top w:val="none" w:sz="0" w:space="0" w:color="auto"/>
            <w:left w:val="none" w:sz="0" w:space="0" w:color="auto"/>
            <w:bottom w:val="none" w:sz="0" w:space="0" w:color="auto"/>
            <w:right w:val="none" w:sz="0" w:space="0" w:color="auto"/>
          </w:divBdr>
        </w:div>
        <w:div w:id="1773823205">
          <w:marLeft w:val="1166"/>
          <w:marRight w:val="0"/>
          <w:marTop w:val="60"/>
          <w:marBottom w:val="0"/>
          <w:divBdr>
            <w:top w:val="none" w:sz="0" w:space="0" w:color="auto"/>
            <w:left w:val="none" w:sz="0" w:space="0" w:color="auto"/>
            <w:bottom w:val="none" w:sz="0" w:space="0" w:color="auto"/>
            <w:right w:val="none" w:sz="0" w:space="0" w:color="auto"/>
          </w:divBdr>
        </w:div>
        <w:div w:id="1022633388">
          <w:marLeft w:val="446"/>
          <w:marRight w:val="0"/>
          <w:marTop w:val="60"/>
          <w:marBottom w:val="0"/>
          <w:divBdr>
            <w:top w:val="none" w:sz="0" w:space="0" w:color="auto"/>
            <w:left w:val="none" w:sz="0" w:space="0" w:color="auto"/>
            <w:bottom w:val="none" w:sz="0" w:space="0" w:color="auto"/>
            <w:right w:val="none" w:sz="0" w:space="0" w:color="auto"/>
          </w:divBdr>
        </w:div>
        <w:div w:id="917832100">
          <w:marLeft w:val="1080"/>
          <w:marRight w:val="0"/>
          <w:marTop w:val="60"/>
          <w:marBottom w:val="0"/>
          <w:divBdr>
            <w:top w:val="none" w:sz="0" w:space="0" w:color="auto"/>
            <w:left w:val="none" w:sz="0" w:space="0" w:color="auto"/>
            <w:bottom w:val="none" w:sz="0" w:space="0" w:color="auto"/>
            <w:right w:val="none" w:sz="0" w:space="0" w:color="auto"/>
          </w:divBdr>
        </w:div>
        <w:div w:id="398944826">
          <w:marLeft w:val="1714"/>
          <w:marRight w:val="0"/>
          <w:marTop w:val="60"/>
          <w:marBottom w:val="0"/>
          <w:divBdr>
            <w:top w:val="none" w:sz="0" w:space="0" w:color="auto"/>
            <w:left w:val="none" w:sz="0" w:space="0" w:color="auto"/>
            <w:bottom w:val="none" w:sz="0" w:space="0" w:color="auto"/>
            <w:right w:val="none" w:sz="0" w:space="0" w:color="auto"/>
          </w:divBdr>
        </w:div>
        <w:div w:id="1117406142">
          <w:marLeft w:val="1080"/>
          <w:marRight w:val="0"/>
          <w:marTop w:val="60"/>
          <w:marBottom w:val="0"/>
          <w:divBdr>
            <w:top w:val="none" w:sz="0" w:space="0" w:color="auto"/>
            <w:left w:val="none" w:sz="0" w:space="0" w:color="auto"/>
            <w:bottom w:val="none" w:sz="0" w:space="0" w:color="auto"/>
            <w:right w:val="none" w:sz="0" w:space="0" w:color="auto"/>
          </w:divBdr>
        </w:div>
        <w:div w:id="250817487">
          <w:marLeft w:val="1080"/>
          <w:marRight w:val="0"/>
          <w:marTop w:val="60"/>
          <w:marBottom w:val="0"/>
          <w:divBdr>
            <w:top w:val="none" w:sz="0" w:space="0" w:color="auto"/>
            <w:left w:val="none" w:sz="0" w:space="0" w:color="auto"/>
            <w:bottom w:val="none" w:sz="0" w:space="0" w:color="auto"/>
            <w:right w:val="none" w:sz="0" w:space="0" w:color="auto"/>
          </w:divBdr>
        </w:div>
        <w:div w:id="1426150370">
          <w:marLeft w:val="1714"/>
          <w:marRight w:val="0"/>
          <w:marTop w:val="60"/>
          <w:marBottom w:val="0"/>
          <w:divBdr>
            <w:top w:val="none" w:sz="0" w:space="0" w:color="auto"/>
            <w:left w:val="none" w:sz="0" w:space="0" w:color="auto"/>
            <w:bottom w:val="none" w:sz="0" w:space="0" w:color="auto"/>
            <w:right w:val="none" w:sz="0" w:space="0" w:color="auto"/>
          </w:divBdr>
        </w:div>
        <w:div w:id="1957635637">
          <w:marLeft w:val="2434"/>
          <w:marRight w:val="0"/>
          <w:marTop w:val="60"/>
          <w:marBottom w:val="0"/>
          <w:divBdr>
            <w:top w:val="none" w:sz="0" w:space="0" w:color="auto"/>
            <w:left w:val="none" w:sz="0" w:space="0" w:color="auto"/>
            <w:bottom w:val="none" w:sz="0" w:space="0" w:color="auto"/>
            <w:right w:val="none" w:sz="0" w:space="0" w:color="auto"/>
          </w:divBdr>
        </w:div>
        <w:div w:id="1882204434">
          <w:marLeft w:val="2434"/>
          <w:marRight w:val="0"/>
          <w:marTop w:val="60"/>
          <w:marBottom w:val="0"/>
          <w:divBdr>
            <w:top w:val="none" w:sz="0" w:space="0" w:color="auto"/>
            <w:left w:val="none" w:sz="0" w:space="0" w:color="auto"/>
            <w:bottom w:val="none" w:sz="0" w:space="0" w:color="auto"/>
            <w:right w:val="none" w:sz="0" w:space="0" w:color="auto"/>
          </w:divBdr>
        </w:div>
        <w:div w:id="1373533776">
          <w:marLeft w:val="2434"/>
          <w:marRight w:val="0"/>
          <w:marTop w:val="60"/>
          <w:marBottom w:val="0"/>
          <w:divBdr>
            <w:top w:val="none" w:sz="0" w:space="0" w:color="auto"/>
            <w:left w:val="none" w:sz="0" w:space="0" w:color="auto"/>
            <w:bottom w:val="none" w:sz="0" w:space="0" w:color="auto"/>
            <w:right w:val="none" w:sz="0" w:space="0" w:color="auto"/>
          </w:divBdr>
        </w:div>
        <w:div w:id="1609895025">
          <w:marLeft w:val="1714"/>
          <w:marRight w:val="0"/>
          <w:marTop w:val="60"/>
          <w:marBottom w:val="0"/>
          <w:divBdr>
            <w:top w:val="none" w:sz="0" w:space="0" w:color="auto"/>
            <w:left w:val="none" w:sz="0" w:space="0" w:color="auto"/>
            <w:bottom w:val="none" w:sz="0" w:space="0" w:color="auto"/>
            <w:right w:val="none" w:sz="0" w:space="0" w:color="auto"/>
          </w:divBdr>
        </w:div>
        <w:div w:id="1166558005">
          <w:marLeft w:val="2434"/>
          <w:marRight w:val="0"/>
          <w:marTop w:val="60"/>
          <w:marBottom w:val="0"/>
          <w:divBdr>
            <w:top w:val="none" w:sz="0" w:space="0" w:color="auto"/>
            <w:left w:val="none" w:sz="0" w:space="0" w:color="auto"/>
            <w:bottom w:val="none" w:sz="0" w:space="0" w:color="auto"/>
            <w:right w:val="none" w:sz="0" w:space="0" w:color="auto"/>
          </w:divBdr>
        </w:div>
        <w:div w:id="1432120400">
          <w:marLeft w:val="446"/>
          <w:marRight w:val="0"/>
          <w:marTop w:val="60"/>
          <w:marBottom w:val="0"/>
          <w:divBdr>
            <w:top w:val="none" w:sz="0" w:space="0" w:color="auto"/>
            <w:left w:val="none" w:sz="0" w:space="0" w:color="auto"/>
            <w:bottom w:val="none" w:sz="0" w:space="0" w:color="auto"/>
            <w:right w:val="none" w:sz="0" w:space="0" w:color="auto"/>
          </w:divBdr>
        </w:div>
        <w:div w:id="1516386448">
          <w:marLeft w:val="1080"/>
          <w:marRight w:val="0"/>
          <w:marTop w:val="60"/>
          <w:marBottom w:val="0"/>
          <w:divBdr>
            <w:top w:val="none" w:sz="0" w:space="0" w:color="auto"/>
            <w:left w:val="none" w:sz="0" w:space="0" w:color="auto"/>
            <w:bottom w:val="none" w:sz="0" w:space="0" w:color="auto"/>
            <w:right w:val="none" w:sz="0" w:space="0" w:color="auto"/>
          </w:divBdr>
        </w:div>
        <w:div w:id="536964105">
          <w:marLeft w:val="1714"/>
          <w:marRight w:val="0"/>
          <w:marTop w:val="60"/>
          <w:marBottom w:val="0"/>
          <w:divBdr>
            <w:top w:val="none" w:sz="0" w:space="0" w:color="auto"/>
            <w:left w:val="none" w:sz="0" w:space="0" w:color="auto"/>
            <w:bottom w:val="none" w:sz="0" w:space="0" w:color="auto"/>
            <w:right w:val="none" w:sz="0" w:space="0" w:color="auto"/>
          </w:divBdr>
        </w:div>
        <w:div w:id="1381830678">
          <w:marLeft w:val="1714"/>
          <w:marRight w:val="0"/>
          <w:marTop w:val="60"/>
          <w:marBottom w:val="0"/>
          <w:divBdr>
            <w:top w:val="none" w:sz="0" w:space="0" w:color="auto"/>
            <w:left w:val="none" w:sz="0" w:space="0" w:color="auto"/>
            <w:bottom w:val="none" w:sz="0" w:space="0" w:color="auto"/>
            <w:right w:val="none" w:sz="0" w:space="0" w:color="auto"/>
          </w:divBdr>
        </w:div>
        <w:div w:id="625506414">
          <w:marLeft w:val="1080"/>
          <w:marRight w:val="0"/>
          <w:marTop w:val="6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500945">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8710555">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31DBAD-56FB-4571-9657-74D62BA627FC}">
  <ds:schemaRefs>
    <ds:schemaRef ds:uri="http://schemas.openxmlformats.org/officeDocument/2006/bibliography"/>
  </ds:schemaRefs>
</ds:datastoreItem>
</file>

<file path=customXml/itemProps5.xml><?xml version="1.0" encoding="utf-8"?>
<ds:datastoreItem xmlns:ds="http://schemas.openxmlformats.org/officeDocument/2006/customXml" ds:itemID="{EB0EA784-A43C-4A94-8391-39C49E95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1119</Words>
  <Characters>6022</Characters>
  <Application>Microsoft Office Word</Application>
  <DocSecurity>0</DocSecurity>
  <Lines>376</Lines>
  <Paragraphs>255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2</cp:revision>
  <cp:lastPrinted>2016-11-03T01:40:00Z</cp:lastPrinted>
  <dcterms:created xsi:type="dcterms:W3CDTF">2019-05-03T18:18:00Z</dcterms:created>
  <dcterms:modified xsi:type="dcterms:W3CDTF">2019-05-03T18:18:00Z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ab039f5b-9b95-4b74-b2e6-c66af972e1cf</vt:lpwstr>
  </property>
  <property fmtid="{D5CDD505-2E9C-101B-9397-08002B2CF9AE}" pid="4" name="CTP_TimeStamp">
    <vt:lpwstr>2019-05-03 12:03:29Z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